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Next w:val="true"/>
        <w:pBdr/>
        <w:tabs>
          <w:tab w:val="left" w:leader="none" w:pos="5895"/>
        </w:tabs>
        <w:spacing w:after="0" w:line="240" w:lineRule="auto"/>
        <w:ind/>
        <w:jc w:val="right"/>
        <w:outlineLvl w:val="1"/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1400" cy="126936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089621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21399" cy="126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2.00pt;height:99.9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eastAsia="Times New Roman"/>
          <w:b/>
          <w:bCs/>
          <w:i/>
          <w:iCs/>
          <w:sz w:val="28"/>
          <w:szCs w:val="28"/>
        </w:rPr>
      </w:r>
    </w:p>
    <w:tbl>
      <w:tblPr>
        <w:tblW w:w="9925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236"/>
        <w:gridCol w:w="3575"/>
        <w:gridCol w:w="2311"/>
        <w:gridCol w:w="48"/>
        <w:gridCol w:w="3755"/>
      </w:tblGrid>
      <w:tr>
        <w:trPr/>
        <w:tc>
          <w:tcPr>
            <w:tcBorders/>
            <w:tcW w:w="16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i/>
                <w:sz w:val="32"/>
              </w:rPr>
            </w:pPr>
            <w:r>
              <w:rPr>
                <w:rFonts w:ascii="Times New Roman" w:hAnsi="Times New Roman" w:eastAsia="Calibri"/>
                <w:b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</w:p>
        </w:tc>
        <w:tc>
          <w:tcPr>
            <w:tcBorders/>
            <w:tcW w:w="360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i/>
                <w:sz w:val="32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32"/>
              </w:rPr>
              <w:t xml:space="preserve">           Решение</w:t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</w:p>
        </w:tc>
        <w:tc>
          <w:tcPr>
            <w:gridSpan w:val="2"/>
            <w:tcBorders/>
            <w:tcW w:w="23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i/>
                <w:sz w:val="32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32"/>
              </w:rPr>
              <w:t xml:space="preserve">       </w:t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sz w:val="32"/>
              </w:rPr>
            </w:r>
          </w:p>
        </w:tc>
        <w:tc>
          <w:tcPr>
            <w:tcBorders/>
            <w:tcW w:w="378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bCs/>
                <w:i/>
                <w:sz w:val="32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32"/>
              </w:rPr>
              <w:t xml:space="preserve">             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sz w:val="32"/>
              </w:rPr>
              <w:t xml:space="preserve">Карар</w:t>
            </w:r>
            <w:r>
              <w:rPr>
                <w:rFonts w:ascii="Times New Roman" w:hAnsi="Times New Roman" w:eastAsia="Calibri"/>
                <w:b/>
                <w:bCs/>
                <w:i/>
                <w:sz w:val="32"/>
              </w:rPr>
            </w:r>
            <w:r>
              <w:rPr>
                <w:rFonts w:ascii="Times New Roman" w:hAnsi="Times New Roman" w:eastAsia="Calibri"/>
                <w:b/>
                <w:bCs/>
                <w:i/>
                <w:sz w:val="32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i/>
                <w:iCs/>
                <w:sz w:val="32"/>
              </w:rPr>
            </w:pPr>
            <w:r>
              <w:rPr>
                <w:rFonts w:ascii="Times New Roman" w:hAnsi="Times New Roman" w:eastAsia="Calibri"/>
                <w:b/>
                <w:i/>
                <w:iCs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iCs/>
                <w:sz w:val="32"/>
              </w:rPr>
            </w:r>
            <w:r>
              <w:rPr>
                <w:rFonts w:ascii="Times New Roman" w:hAnsi="Times New Roman" w:eastAsia="Calibri"/>
                <w:b/>
                <w:i/>
                <w:iCs/>
                <w:sz w:val="32"/>
              </w:rPr>
            </w:r>
          </w:p>
        </w:tc>
      </w:tr>
      <w:tr>
        <w:trPr>
          <w:trHeight w:val="295"/>
        </w:trPr>
        <w:tc>
          <w:tcPr>
            <w:gridSpan w:val="3"/>
            <w:tcBorders/>
            <w:tcW w:w="609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-282"/>
              <w:rPr>
                <w:rFonts w:ascii="Times New Roman" w:hAnsi="Times New Roman" w:eastAsia="Calibri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           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</w:rPr>
              <w:t xml:space="preserve">2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</w:rPr>
              <w:t xml:space="preserve">5 апреля 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</w:rPr>
              <w:t xml:space="preserve"> 2025 года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                     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.Ч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истополь</w:t>
            </w: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                              </w:t>
            </w:r>
            <w:r>
              <w:rPr>
                <w:rFonts w:ascii="Times New Roman" w:hAnsi="Times New Roman" w:eastAsia="Calibri"/>
                <w:b/>
                <w:sz w:val="24"/>
              </w:rPr>
            </w:r>
            <w:r>
              <w:rPr>
                <w:rFonts w:ascii="Times New Roman" w:hAnsi="Times New Roman" w:eastAsia="Calibri"/>
                <w:b/>
                <w:sz w:val="24"/>
              </w:rPr>
            </w:r>
          </w:p>
        </w:tc>
        <w:tc>
          <w:tcPr>
            <w:gridSpan w:val="2"/>
            <w:tcBorders/>
            <w:tcW w:w="382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eastAsia="Calibri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</w:rPr>
              <w:t xml:space="preserve">40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</w:rPr>
              <w:t xml:space="preserve">/</w:t>
            </w:r>
            <w:r>
              <w:rPr>
                <w:rFonts w:ascii="Times New Roman" w:hAnsi="Times New Roman" w:eastAsia="Calibri" w:cs="Times New Roman"/>
                <w:b/>
                <w:sz w:val="24"/>
                <w:u w:val="single"/>
                <w:lang w:val="undefined"/>
              </w:rPr>
              <w:t xml:space="preserve">2</w:t>
            </w:r>
            <w:r>
              <w:rPr>
                <w:rFonts w:ascii="Times New Roman" w:hAnsi="Times New Roman" w:eastAsia="Calibri"/>
                <w:b/>
                <w:sz w:val="24"/>
              </w:rPr>
            </w:r>
            <w:r>
              <w:rPr>
                <w:rFonts w:ascii="Times New Roman" w:hAnsi="Times New Roman" w:eastAsia="Calibri"/>
                <w:b/>
                <w:sz w:val="24"/>
              </w:rPr>
            </w:r>
          </w:p>
        </w:tc>
      </w:tr>
    </w:tbl>
    <w:p>
      <w:pPr>
        <w:pStyle w:val="675"/>
        <w:pBdr/>
        <w:spacing/>
        <w:ind w:right="-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 w:right="-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решение 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Чистопольского муниципального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5"/>
        <w:pBdr/>
        <w:spacing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района от 19.04.2018 </w:t>
      </w:r>
      <w:r>
        <w:rPr>
          <w:rFonts w:ascii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hAnsi="Times New Roman" w:cs="Times New Roman"/>
          <w:sz w:val="26"/>
          <w:szCs w:val="26"/>
        </w:rPr>
        <w:t xml:space="preserve">№33/2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5"/>
        <w:pBdr/>
        <w:spacing/>
        <w:ind w:right="-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bCs/>
          <w:sz w:val="26"/>
          <w:szCs w:val="26"/>
        </w:rPr>
        <w:t xml:space="preserve">Об установлении размеров должностных 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 w:right="-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окладов муниципальных служащих, 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 w:right="-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ежемесячных и иных дополнительных 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выплат и порядок их осуществления»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5"/>
        <w:pBdr/>
        <w:spacing/>
        <w:ind w:right="453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Кабинета Мини</w:t>
      </w:r>
      <w:r>
        <w:rPr>
          <w:rFonts w:ascii="Times New Roman" w:hAnsi="Times New Roman" w:cs="Times New Roman"/>
          <w:sz w:val="26"/>
          <w:szCs w:val="26"/>
        </w:rPr>
        <w:t xml:space="preserve">стров Республики Татарстан от </w:t>
      </w:r>
      <w:r>
        <w:rPr>
          <w:rFonts w:ascii="Times New Roman" w:hAnsi="Times New Roman" w:cs="Times New Roman"/>
          <w:sz w:val="26"/>
          <w:szCs w:val="26"/>
        </w:rPr>
        <w:t xml:space="preserve">14</w:t>
      </w:r>
      <w:r>
        <w:rPr>
          <w:rFonts w:ascii="Times New Roman" w:hAnsi="Times New Roman" w:cs="Times New Roman"/>
          <w:sz w:val="26"/>
          <w:szCs w:val="26"/>
        </w:rPr>
        <w:t xml:space="preserve">.0</w:t>
      </w: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.202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228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Постановление Кабинета Министров Республики Татарстан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Совет Чистопольского муниципального района Республики Татарстан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75"/>
        <w:pBdr/>
        <w:spacing/>
        <w:ind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РЕШ</w:t>
      </w:r>
      <w:r>
        <w:rPr>
          <w:rFonts w:ascii="Times New Roman" w:hAnsi="Times New Roman" w:cs="Times New Roman"/>
          <w:bCs/>
          <w:sz w:val="26"/>
          <w:szCs w:val="26"/>
        </w:rPr>
        <w:t xml:space="preserve">ИЛ</w:t>
      </w:r>
      <w:r>
        <w:rPr>
          <w:rFonts w:ascii="Times New Roman" w:hAnsi="Times New Roman" w:cs="Times New Roman"/>
          <w:bCs/>
          <w:sz w:val="26"/>
          <w:szCs w:val="26"/>
        </w:rPr>
        <w:t xml:space="preserve">:</w:t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7"/>
        <w:widowControl w:val="true"/>
        <w:pBdr/>
        <w:spacing/>
        <w:ind w:firstLine="0" w:left="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  <w:lang w:val="undefined"/>
        </w:rPr>
        <w:t xml:space="preserve">1. 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нести в решение Совета Чистопольского муниципального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района от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19.04.2018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№33/2 «Об установлении размеров должностных окладов муниципальных служащих, ежемесячных и иных дополнительных выплат и порядок их осуществления» (с изменениями, внесенными решениями Совета Чистопольского муниципального района от 18.02.2020 №54/2, от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02.09.2020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57/6, от 15.12.2021 №11/5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от 09.02.2022 №13/1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от 28.09.2022  №17/4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от 15.05.2024 №31/6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от 26.09.2024 №34/2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от 30.10.2024 №35/4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)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следующие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изменения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77"/>
        <w:widowControl w:val="true"/>
        <w:pBdr/>
        <w:spacing/>
        <w:ind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пункте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1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13 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990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рубл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заменить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словами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389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рубл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;</w:t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677"/>
        <w:widowControl w:val="true"/>
        <w:pBdr/>
        <w:spacing/>
        <w:ind/>
        <w:jc w:val="both"/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  <w:t xml:space="preserve">в приложении 4 слова «41 процента» заменить словами «58 процентов»;</w:t>
      </w:r>
      <w:r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</w:r>
    </w:p>
    <w:p>
      <w:pPr>
        <w:pStyle w:val="677"/>
        <w:widowControl w:val="true"/>
        <w:pBdr/>
        <w:spacing/>
        <w:ind/>
        <w:jc w:val="both"/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  <w:t xml:space="preserve">в пункте 3 приложения 9 слова «сорока одного процента» заменить словами «пятидесяти восьми процентов».</w:t>
      </w:r>
      <w:r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</w:r>
    </w:p>
    <w:p>
      <w:pPr>
        <w:pStyle w:val="677"/>
        <w:widowControl w:val="true"/>
        <w:pBdr/>
        <w:spacing/>
        <w:ind w:firstLine="0" w:left="0"/>
        <w:jc w:val="both"/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 w:val="0"/>
          <w:sz w:val="26"/>
          <w:szCs w:val="26"/>
          <w:lang w:val="undefined"/>
        </w:rPr>
        <w:t xml:space="preserve">2. 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Установить, что настоящее решение вступает в силу с 1 мая 2025 года.</w:t>
      </w:r>
      <w:r>
        <w:rPr>
          <w:rFonts w:ascii="Times New Roman" w:hAnsi="Times New Roman" w:cs="Times New Roman"/>
          <w:b w:val="0"/>
          <w:spacing w:val="2"/>
          <w:sz w:val="26"/>
          <w:szCs w:val="26"/>
          <w:shd w:val="clear" w:color="auto" w:fill="ffffff"/>
        </w:rPr>
      </w:r>
    </w:p>
    <w:p>
      <w:pPr>
        <w:pStyle w:val="675"/>
        <w:pBdr/>
        <w:spacing/>
        <w:ind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pStyle w:val="675"/>
        <w:pBdr/>
        <w:spacing/>
        <w:ind/>
        <w:jc w:val="both"/>
        <w:rPr>
          <w:rFonts w:ascii="Times New Roman" w:hAnsi="Times New Roman" w:cs="Times New Roman"/>
          <w:bCs/>
          <w:sz w:val="26"/>
          <w:szCs w:val="26"/>
          <w:lang w:val="tt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Глава Чистопольского </w:t>
      </w:r>
      <w:r>
        <w:rPr>
          <w:rFonts w:ascii="Times New Roman" w:hAnsi="Times New Roman" w:cs="Times New Roman"/>
          <w:bCs/>
          <w:sz w:val="26"/>
          <w:szCs w:val="26"/>
          <w:lang w:val="tt-RU"/>
        </w:rPr>
      </w:r>
    </w:p>
    <w:p>
      <w:pPr>
        <w:pStyle w:val="675"/>
        <w:pBdr/>
        <w:spacing/>
        <w:ind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</w:t>
      </w:r>
      <w:r>
        <w:rPr>
          <w:rFonts w:ascii="Times New Roman" w:hAnsi="Times New Roman" w:cs="Times New Roman"/>
          <w:bCs/>
          <w:sz w:val="26"/>
          <w:szCs w:val="26"/>
        </w:rPr>
        <w:t xml:space="preserve">ниципального района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Cs/>
          <w:sz w:val="26"/>
          <w:szCs w:val="26"/>
          <w:lang w:val="undefined"/>
        </w:rPr>
        <w:t xml:space="preserve">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bookmarkStart w:id="0" w:name="_GoBack"/>
      <w:r/>
      <w:bookmarkEnd w:id="0"/>
      <w:r>
        <w:rPr>
          <w:rFonts w:ascii="Times New Roman" w:hAnsi="Times New Roman" w:cs="Times New Roman"/>
          <w:bCs/>
          <w:sz w:val="26"/>
          <w:szCs w:val="26"/>
        </w:rPr>
        <w:t xml:space="preserve">  Д.А. Иванов</w:t>
      </w:r>
      <w:r>
        <w:rPr>
          <w:rFonts w:ascii="Times New Roman" w:hAnsi="Times New Roman" w:cs="Times New Roman"/>
          <w:spacing w:val="2"/>
          <w:sz w:val="26"/>
          <w:szCs w:val="26"/>
        </w:rPr>
      </w:r>
    </w:p>
    <w:sectPr>
      <w:footnotePr/>
      <w:endnotePr/>
      <w:type w:val="nextPage"/>
      <w:pgSz w:h="16838" w:orient="portrait" w:w="11906"/>
      <w:pgMar w:top="1134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200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29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494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22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78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952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080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12456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32" w:left="432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8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4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0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6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27"/>
      </w:pPr>
      <w:rPr>
        <w:rFonts w:hint="default"/>
      </w:rPr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c0ea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70"/>
    <w:next w:val="67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70"/>
    <w:next w:val="67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70"/>
    <w:next w:val="67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70"/>
    <w:next w:val="67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70"/>
    <w:next w:val="67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70"/>
    <w:next w:val="67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70"/>
    <w:next w:val="67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2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70"/>
    <w:next w:val="67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70"/>
    <w:next w:val="67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70"/>
    <w:next w:val="67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70"/>
    <w:next w:val="67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7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2"/>
    <w:link w:val="175"/>
    <w:uiPriority w:val="99"/>
    <w:pPr>
      <w:pBdr/>
      <w:spacing/>
      <w:ind/>
    </w:pPr>
  </w:style>
  <w:style w:type="paragraph" w:styleId="177">
    <w:name w:val="Footer"/>
    <w:basedOn w:val="67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2"/>
    <w:link w:val="177"/>
    <w:uiPriority w:val="99"/>
    <w:pPr>
      <w:pBdr/>
      <w:spacing/>
      <w:ind/>
    </w:pPr>
  </w:style>
  <w:style w:type="paragraph" w:styleId="179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7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7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89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0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1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2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3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4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5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6">
    <w:name w:val="toc 9"/>
    <w:basedOn w:val="670"/>
    <w:next w:val="67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 w:after="200" w:line="276" w:lineRule="auto"/>
      <w:ind/>
    </w:pPr>
    <w:rPr>
      <w:rFonts w:ascii="Calibri" w:hAnsi="Calibri" w:eastAsia="Times New Roman" w:cs="Calibri"/>
      <w:lang w:eastAsia="ru-RU"/>
    </w:rPr>
  </w:style>
  <w:style w:type="paragraph" w:styleId="671">
    <w:name w:val="Heading 1"/>
    <w:basedOn w:val="670"/>
    <w:next w:val="670"/>
    <w:link w:val="682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72" w:default="1">
    <w:name w:val="Default Paragraph Font"/>
    <w:uiPriority w:val="1"/>
    <w:semiHidden/>
    <w:unhideWhenUsed/>
    <w:pPr>
      <w:pBdr/>
      <w:spacing/>
      <w:ind/>
    </w:pPr>
  </w:style>
  <w:style w:type="table" w:styleId="6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4" w:default="1">
    <w:name w:val="No List"/>
    <w:uiPriority w:val="99"/>
    <w:semiHidden/>
    <w:unhideWhenUsed/>
    <w:pPr>
      <w:pBdr/>
      <w:spacing/>
      <w:ind/>
    </w:pPr>
  </w:style>
  <w:style w:type="paragraph" w:styleId="675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Calibri"/>
      <w:lang w:eastAsia="ru-RU"/>
    </w:rPr>
  </w:style>
  <w:style w:type="paragraph" w:styleId="676" w:customStyle="1">
    <w:name w:val="ConsPlusNormal"/>
    <w:uiPriority w:val="99"/>
    <w:pPr>
      <w:widowControl w:val="false"/>
      <w:pBdr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677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678" w:customStyle="1">
    <w:name w:val="formattext"/>
    <w:basedOn w:val="670"/>
    <w:pPr>
      <w:pBdr/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</w:rPr>
  </w:style>
  <w:style w:type="character" w:styleId="679">
    <w:name w:val="Hyperlink"/>
    <w:basedOn w:val="672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680">
    <w:name w:val="Balloon Text"/>
    <w:basedOn w:val="670"/>
    <w:link w:val="68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72"/>
    <w:link w:val="68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character" w:styleId="682" w:customStyle="1">
    <w:name w:val="Заголовок 1 Знак"/>
    <w:basedOn w:val="672"/>
    <w:link w:val="671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revision>6</cp:revision>
  <dcterms:created xsi:type="dcterms:W3CDTF">2025-04-16T06:58:00Z</dcterms:created>
  <dcterms:modified xsi:type="dcterms:W3CDTF">2025-04-25T06:59:27Z</dcterms:modified>
</cp:coreProperties>
</file>