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895" w:leader="none"/>
        </w:tabs>
        <w:spacing w:lineRule="auto" w:line="240" w:before="0" w:after="0"/>
        <w:ind w:left="0" w:hanging="0"/>
        <w:jc w:val="right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  <w:lang w:val="x-none" w:eastAsia="x-none"/>
        </w:rPr>
      </w:pPr>
      <w:r>
        <w:rPr/>
        <w:drawing>
          <wp:inline distT="0" distB="0" distL="0" distR="0">
            <wp:extent cx="6121400" cy="126936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4"/>
        <w:gridCol w:w="3604"/>
        <w:gridCol w:w="2327"/>
        <w:gridCol w:w="48"/>
        <w:gridCol w:w="3781"/>
      </w:tblGrid>
      <w:tr>
        <w:trPr/>
        <w:tc>
          <w:tcPr>
            <w:tcW w:w="1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/>
                <w:b/>
                <w:i/>
                <w:sz w:val="32"/>
                <w:lang w:eastAsia="en-US"/>
              </w:rPr>
            </w:r>
          </w:p>
        </w:tc>
        <w:tc>
          <w:tcPr>
            <w:tcW w:w="36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/>
                <w:b/>
                <w:i/>
                <w:sz w:val="32"/>
                <w:lang w:eastAsia="en-US"/>
              </w:rPr>
              <w:t xml:space="preserve">           </w:t>
            </w:r>
            <w:r>
              <w:rPr>
                <w:rFonts w:eastAsia="Calibri" w:cs="Times New Roman"/>
                <w:b/>
                <w:i/>
                <w:sz w:val="32"/>
                <w:lang w:eastAsia="en-US"/>
              </w:rPr>
              <w:t>Решение</w:t>
            </w:r>
          </w:p>
        </w:tc>
        <w:tc>
          <w:tcPr>
            <w:tcW w:w="237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/>
                <w:b/>
                <w:i/>
                <w:sz w:val="32"/>
                <w:lang w:eastAsia="en-US"/>
              </w:rPr>
            </w:r>
          </w:p>
        </w:tc>
        <w:tc>
          <w:tcPr>
            <w:tcW w:w="37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i/>
                <w:i/>
                <w:sz w:val="32"/>
                <w:lang w:eastAsia="en-US"/>
              </w:rPr>
            </w:pPr>
            <w:r>
              <w:rPr>
                <w:rFonts w:eastAsia="Calibri" w:cs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r>
              <w:rPr>
                <w:rFonts w:eastAsia="Calibri" w:cs="Times New Roman"/>
                <w:b/>
                <w:bCs/>
                <w:i/>
                <w:sz w:val="32"/>
                <w:lang w:eastAsia="en-US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i/>
                <w:i/>
                <w:iCs/>
                <w:sz w:val="32"/>
                <w:lang w:eastAsia="en-US"/>
              </w:rPr>
            </w:pPr>
            <w:r>
              <w:rPr>
                <w:rFonts w:eastAsia="Calibri" w:cs="Times New Roman"/>
                <w:b/>
                <w:i/>
                <w:iCs/>
                <w:sz w:val="32"/>
                <w:lang w:eastAsia="en-US"/>
              </w:rPr>
            </w:r>
          </w:p>
        </w:tc>
      </w:tr>
      <w:tr>
        <w:trPr>
          <w:trHeight w:val="295" w:hRule="atLeast"/>
        </w:trPr>
        <w:tc>
          <w:tcPr>
            <w:tcW w:w="6095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282" w:hanging="0"/>
              <w:rPr>
                <w:rFonts w:ascii="Times New Roman" w:hAnsi="Times New Roman" w:eastAsia="Calibri" w:cs="Times New Roman"/>
                <w:b/>
                <w:sz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lang w:eastAsia="en-US"/>
              </w:rPr>
              <w:t xml:space="preserve">           </w:t>
            </w:r>
            <w:r>
              <w:rPr>
                <w:rFonts w:eastAsia="Calibri" w:cs="Times New Roman"/>
                <w:b/>
                <w:i w:val="false"/>
                <w:iCs w:val="false"/>
                <w:sz w:val="24"/>
                <w:u w:val="single"/>
                <w:lang w:eastAsia="en-US"/>
              </w:rPr>
              <w:t xml:space="preserve">12 февраля 2025 года </w:t>
            </w:r>
            <w:r>
              <w:rPr>
                <w:rFonts w:eastAsia="Calibri" w:cs="Times New Roman"/>
                <w:b/>
                <w:sz w:val="24"/>
                <w:lang w:eastAsia="en-US"/>
              </w:rPr>
              <w:t xml:space="preserve">                     г.Чистополь</w:t>
            </w:r>
          </w:p>
        </w:tc>
        <w:tc>
          <w:tcPr>
            <w:tcW w:w="382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lang w:eastAsia="en-US"/>
              </w:rPr>
              <w:t xml:space="preserve">                  № </w:t>
            </w:r>
            <w:r>
              <w:rPr>
                <w:rFonts w:eastAsia="Calibri" w:cs="Times New Roman"/>
                <w:b/>
                <w:sz w:val="24"/>
                <w:u w:val="single"/>
                <w:lang w:eastAsia="en-US"/>
              </w:rPr>
              <w:t>38/2</w:t>
            </w:r>
          </w:p>
        </w:tc>
      </w:tr>
    </w:tbl>
    <w:p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/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итогах социально</w:t>
      </w: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экономического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развития Чистопольского муниципального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района за 2024 год и задачах на 2025 год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bCs/>
          <w:sz w:val="28"/>
          <w:szCs w:val="28"/>
        </w:rPr>
        <w:t>Заслушав и обсудив отчет главы Чистопольского муниципального района Д.А.Иванова, Совет Чистопольского муниципального района отмечает последовательную работу по устойчивому развитию экономики и социальной сферы, стабильное функционирование служб жизнеобеспечения города и района. В 2024 году возрос оборот производства малых и средних предпринимателей, объём розничного товарооборота. Продолжалась  реализация Федеральных и Республиканских социально-экономических программ.</w:t>
      </w:r>
    </w:p>
    <w:p>
      <w:pPr>
        <w:pStyle w:val="Normal"/>
        <w:ind w:left="0" w:right="0" w:firstLine="709"/>
        <w:jc w:val="both"/>
        <w:rPr/>
      </w:pPr>
      <w:r>
        <w:rPr>
          <w:bCs/>
          <w:sz w:val="28"/>
          <w:szCs w:val="28"/>
        </w:rPr>
        <w:t>За отчетный период органы местного самоуправления Чистопольского        муниципального района направляли свои действия и имеющиеся финансовые    ресурсы на решение социальных и экономических проблем. Планомерно проводилась работа по вопросам адресной социальной защиты населения, борьбы с преступностью, охраны здоровья населения и окружающей среды, развития  личных подсобных хозяйств и малых форм хозяйствования.</w:t>
      </w:r>
    </w:p>
    <w:p>
      <w:pPr>
        <w:pStyle w:val="Normal"/>
        <w:ind w:left="0" w:right="0" w:firstLine="709"/>
        <w:jc w:val="both"/>
        <w:rPr/>
      </w:pPr>
      <w:r>
        <w:rPr>
          <w:bCs/>
          <w:sz w:val="28"/>
          <w:szCs w:val="28"/>
        </w:rPr>
        <w:t xml:space="preserve">Исходя из вышеизложенного, Совет Чистопольского муниципального района </w:t>
      </w:r>
    </w:p>
    <w:p>
      <w:pPr>
        <w:pStyle w:val="Normal"/>
        <w:ind w:left="0" w:right="0" w:firstLine="709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</w:r>
    </w:p>
    <w:p>
      <w:pPr>
        <w:pStyle w:val="Normal"/>
        <w:ind w:left="0" w:right="0" w:hanging="0"/>
        <w:jc w:val="both"/>
        <w:rPr/>
      </w:pPr>
      <w:r>
        <w:rPr>
          <w:bCs/>
          <w:sz w:val="28"/>
          <w:szCs w:val="28"/>
        </w:rPr>
        <w:t>1. Отчет главы Чистопольского муниципального района об итогах            социально-экономического развития Чистопольского муниципального района за 2024 год и   задачах на 2025 год принять к сведению.</w:t>
      </w:r>
    </w:p>
    <w:p>
      <w:pPr>
        <w:pStyle w:val="Normal"/>
        <w:ind w:left="0" w:right="0" w:hanging="0"/>
        <w:jc w:val="both"/>
        <w:rPr/>
      </w:pPr>
      <w:r>
        <w:rPr>
          <w:bCs/>
          <w:sz w:val="28"/>
          <w:szCs w:val="28"/>
        </w:rPr>
        <w:t>2. В 2025 году Исполнительному комитету Чистопольского муниципального района обеспечить:</w:t>
      </w:r>
    </w:p>
    <w:p>
      <w:pPr>
        <w:pStyle w:val="Normal"/>
        <w:ind w:left="0" w:right="0" w:firstLine="709"/>
        <w:jc w:val="both"/>
        <w:rPr/>
      </w:pPr>
      <w:r>
        <w:rPr>
          <w:rFonts w:eastAsia="Calibri"/>
          <w:sz w:val="28"/>
          <w:szCs w:val="28"/>
        </w:rPr>
        <w:t>- выполнение  Национальных проектов;</w:t>
      </w:r>
    </w:p>
    <w:p>
      <w:pPr>
        <w:pStyle w:val="Normal"/>
        <w:widowControl/>
        <w:ind w:left="0" w:right="0" w:firstLine="709"/>
        <w:jc w:val="both"/>
        <w:rPr/>
      </w:pPr>
      <w:r>
        <w:rPr>
          <w:rFonts w:eastAsia="Calibri"/>
          <w:sz w:val="28"/>
          <w:szCs w:val="28"/>
        </w:rPr>
        <w:t>- реализацию мероприятий Стратегии социально-экономического развития муниципального района до 2030 года;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>- увеличение роста валового территориального продукта района;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>- увеличение объемов отгруженной продукции промышленных предприятий;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>- увеличение количества представителей малого и среднего бизнеса воспользовавшихся федеральными и региональными мерами поддержки;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>- увеличение доли малого и среднего предпринимательства;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>- инвестиционную привлекательность района;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 xml:space="preserve">- дальнейший поиск и привлечение резидентов на территорию опережающего социально-экономического развития «Чистополь» (ТОСЭР), выполнение показателей эффективности; 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>- дальнейшее развитие Индустриального парка;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 xml:space="preserve">- улучшение положения муниципального района в рейтинге социально-экономического развития муниципальных образований Республики Татарстан; 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>- увеличение валового территориального продукта и поголовья КРС                в сельском хозяйстве;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  <w:szCs w:val="28"/>
        </w:rPr>
        <w:t>- развитие малого и среднего бизнеса, повышение предпринимательской активности сельских жителей;</w:t>
      </w:r>
    </w:p>
    <w:p>
      <w:pPr>
        <w:pStyle w:val="NoSpacing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- дальнейшее развитие личных подсобных хозяйств, малых форм хозяйствования и деловой активности  сельского  населения, рассмотрение данного вопроса на заседании Совета Чистопольского муниципального района;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работу по улучшению демографической ситуации муниципального     района;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работу, направленную на сохранение здоровья и активности старшего     поколения;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работу, направленную на подготовку медицинских кадров;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 создание условий для эффективного функционирования органов местного самоуправления;</w:t>
      </w:r>
    </w:p>
    <w:p>
      <w:pPr>
        <w:pStyle w:val="NoSpacing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- повышение эффективности использования земель и имущества по всем направлениям: повышение поступлений арендной платы и средств от реализации земельных участков и муниципального имущества;</w:t>
      </w:r>
    </w:p>
    <w:p>
      <w:pPr>
        <w:pStyle w:val="NoSpacing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>- планомерное выполнение комплексных программ, принятых на федеральном, республиканском и местном уровнях, касающихся жилищно-коммунального хозяйства и охраны окружающей среды, строительства жилья и объектов социально-культурного значения;</w:t>
      </w:r>
    </w:p>
    <w:p>
      <w:pPr>
        <w:pStyle w:val="Normal"/>
        <w:ind w:left="0" w:right="0" w:firstLine="709"/>
        <w:jc w:val="both"/>
        <w:rPr/>
      </w:pPr>
      <w:r>
        <w:rPr>
          <w:bCs/>
          <w:sz w:val="28"/>
          <w:szCs w:val="28"/>
        </w:rPr>
        <w:t>- планомерную работу по продвижению города Чистополя на туристическом рынке России и Республики Татарстан, разработку новых программ и маршрутов, и событийных мероприятий;</w:t>
      </w:r>
    </w:p>
    <w:p>
      <w:pPr>
        <w:pStyle w:val="Normal"/>
        <w:ind w:left="0" w:right="0" w:firstLine="709"/>
        <w:jc w:val="both"/>
        <w:rPr/>
      </w:pPr>
      <w:bookmarkStart w:id="0" w:name="_GoBack"/>
      <w:bookmarkEnd w:id="0"/>
      <w:r>
        <w:rPr>
          <w:bCs/>
          <w:sz w:val="28"/>
          <w:szCs w:val="28"/>
        </w:rPr>
        <w:t>- развитие и поддержку на территории муниципального района социально - ориентированных некоммерческих организаций и их активизацию в проектной деятельности;</w:t>
      </w:r>
    </w:p>
    <w:p>
      <w:pPr>
        <w:pStyle w:val="Normal"/>
        <w:ind w:left="0" w:right="0" w:firstLine="709"/>
        <w:jc w:val="both"/>
        <w:rPr/>
      </w:pPr>
      <w:r>
        <w:rPr>
          <w:bCs/>
          <w:sz w:val="28"/>
          <w:szCs w:val="28"/>
        </w:rPr>
        <w:t xml:space="preserve">- проведение на высоком организационном уровне мероприятий, посвященных Году </w:t>
      </w:r>
      <w:r>
        <w:rPr>
          <w:rFonts w:eastAsia="Calibri"/>
          <w:sz w:val="28"/>
          <w:szCs w:val="28"/>
        </w:rPr>
        <w:t>Защитника Отечества</w:t>
      </w:r>
      <w:r>
        <w:rPr>
          <w:bCs/>
          <w:sz w:val="28"/>
          <w:szCs w:val="28"/>
        </w:rPr>
        <w:t xml:space="preserve"> в Российской Федерации и в Республике Татарстан и 80-летию Победы в ВОв; </w:t>
      </w:r>
    </w:p>
    <w:p>
      <w:pPr>
        <w:pStyle w:val="Normal"/>
        <w:ind w:left="0" w:right="0" w:firstLine="709"/>
        <w:jc w:val="both"/>
        <w:rPr/>
      </w:pPr>
      <w:r>
        <w:rPr>
          <w:bCs/>
          <w:sz w:val="28"/>
          <w:szCs w:val="28"/>
        </w:rPr>
        <w:t>- оказание всесторонней поддержки участникам СВО и их семьям;</w:t>
      </w:r>
    </w:p>
    <w:p>
      <w:pPr>
        <w:pStyle w:val="Normal"/>
        <w:ind w:left="0" w:right="0" w:firstLine="709"/>
        <w:jc w:val="both"/>
        <w:rPr/>
      </w:pPr>
      <w:r>
        <w:rPr>
          <w:bCs/>
          <w:sz w:val="28"/>
          <w:szCs w:val="28"/>
        </w:rPr>
        <w:t xml:space="preserve">- </w:t>
      </w:r>
      <w:r>
        <w:rPr>
          <w:sz w:val="28"/>
        </w:rPr>
        <w:t>увеличение охвата обучения детей на родном (татарском) языке;</w:t>
      </w:r>
    </w:p>
    <w:p>
      <w:pPr>
        <w:pStyle w:val="Normal"/>
        <w:ind w:left="0" w:right="0" w:firstLine="709"/>
        <w:jc w:val="both"/>
        <w:rPr/>
      </w:pPr>
      <w:r>
        <w:rPr>
          <w:bCs/>
          <w:sz w:val="28"/>
          <w:szCs w:val="28"/>
        </w:rPr>
        <w:t>- продолжение работы по укреплению межнациональных и межконфессиональных отношений в Чистопольском муниципальном районе.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Рекомендовать органам местного самоуправления Чистопольского      муниципального района усилить работу по взаимодействию органов местного самоуправления, средств массовой информации и общественных организаций в целях противодействия коррупции.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Рекомендовать  Чистопольской городской прокуратуре, отделу МВД      России по  Чистопольскому  району, отделению УФСБ России по Республике    Татарстан в Чистопольском районе совместно с отделами Исполнительного    комитета Чистопольского муниципального района реализовать во взаимодействии с органами местного самоуправления комплекс  дополнительных мер, направленных на пресечение фактов распространения       экстремистской идеологии среди населения и не допустить действий, разжигающих  межнациональную и межконфессиональную вражду.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Организационному отделу Совета Чистопольского муниципального района разработать мероприятия по замечаниям и предложениям, высказанным в отчетном докладе и при его обсуждении.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Контроль за выполнением данного решения возложить на постоянные      депутатские комиссии Совета Чистопольского муниципального района.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Чистопольского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муниципального района</w:t>
        <w:tab/>
        <w:tab/>
        <w:tab/>
        <w:t xml:space="preserve">                                             Д.А. Иванов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28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link w:val="BalloonText"/>
    <w:uiPriority w:val="99"/>
    <w:semiHidden/>
    <w:qFormat/>
    <w:rsid w:val="00d7628a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d7628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7628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HEADERTEXT">
    <w:name w:val=".HEADERTEX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/>
      <w:color w:val="2B4279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7BC7-B8B1-4183-B322-F5A35765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AlterOffice/3.4.0.5$Linux_X86_64 LibreOffice_project/42a56b0e8fd994740b90ec49d38dce7d78d7a7e4</Application>
  <AppVersion>15.0000</AppVersion>
  <Pages>3</Pages>
  <Words>597</Words>
  <Characters>4629</Characters>
  <CharactersWithSpaces>5477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2024-01-25T05:07:00Z</dcterms:created>
  <dc:creator>1</dc:creator>
  <dc:description/>
  <dc:language>ru-RU</dc:language>
  <cp:lastModifiedBy>ekaterina</cp:lastModifiedBy>
  <cp:lastPrinted>2025-02-13T10:36:05Z</cp:lastPrinted>
  <dcterms:modified xsi:type="dcterms:W3CDTF">2025-02-13T10:36:37Z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