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EB11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Pr="00EB11BC" w:rsidRDefault="00E3698A" w:rsidP="00EB11BC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EB11BC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Проект</w:t>
            </w:r>
          </w:p>
          <w:p w:rsidR="00E3698A" w:rsidRPr="00EB294E" w:rsidRDefault="008D1C76" w:rsidP="00EB11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EB11B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Кубасского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сельского  поселения Чистопольского муниципального 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EB11B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Pr="00EB11BC" w:rsidRDefault="00E3698A" w:rsidP="00EB11BC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tt-RU"/>
        </w:rPr>
      </w:pPr>
      <w:r w:rsidRPr="00EB11BC">
        <w:rPr>
          <w:rFonts w:ascii="Times New Roman" w:hAnsi="Times New Roman"/>
          <w:sz w:val="28"/>
          <w:szCs w:val="28"/>
          <w:lang w:val="tt-RU"/>
        </w:rPr>
        <w:t>Решени</w:t>
      </w:r>
      <w:r w:rsidR="00EB11BC" w:rsidRPr="00EB11BC">
        <w:rPr>
          <w:rFonts w:ascii="Times New Roman" w:hAnsi="Times New Roman"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EB11BC" w:rsidRDefault="00EB11BC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EB11BC" w:rsidRDefault="00EB11BC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EB11BC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EB11BC">
        <w:rPr>
          <w:rFonts w:ascii="Times New Roman" w:hAnsi="Times New Roman"/>
          <w:sz w:val="28"/>
          <w:szCs w:val="28"/>
          <w:lang w:val="tt-RU"/>
        </w:rPr>
        <w:t xml:space="preserve"> Кубасского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</w:p>
    <w:p w:rsidR="00EB11BC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EB11BC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FC2EFA">
        <w:rPr>
          <w:rFonts w:ascii="Times New Roman" w:hAnsi="Times New Roman"/>
          <w:sz w:val="28"/>
          <w:szCs w:val="28"/>
          <w:lang w:val="tt-RU"/>
        </w:rPr>
        <w:t>03</w:t>
      </w:r>
      <w:bookmarkStart w:id="0" w:name="_GoBack"/>
      <w:bookmarkEnd w:id="0"/>
      <w:r w:rsidR="00EB11BC">
        <w:rPr>
          <w:rFonts w:ascii="Times New Roman" w:hAnsi="Times New Roman"/>
          <w:sz w:val="28"/>
          <w:szCs w:val="28"/>
          <w:lang w:val="tt-RU"/>
        </w:rPr>
        <w:t>.10.2015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EB11BC">
        <w:rPr>
          <w:rFonts w:ascii="Times New Roman" w:hAnsi="Times New Roman"/>
          <w:sz w:val="28"/>
          <w:szCs w:val="28"/>
          <w:lang w:val="tt-RU"/>
        </w:rPr>
        <w:t xml:space="preserve"> 2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EB11B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B11BC">
        <w:rPr>
          <w:rFonts w:ascii="Times New Roman" w:hAnsi="Times New Roman"/>
          <w:color w:val="000000"/>
          <w:sz w:val="28"/>
          <w:szCs w:val="28"/>
        </w:rPr>
        <w:t>Кубасского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EB11BC">
        <w:rPr>
          <w:rFonts w:ascii="Times New Roman" w:hAnsi="Times New Roman"/>
          <w:sz w:val="28"/>
          <w:szCs w:val="28"/>
          <w:lang w:val="tt-RU"/>
        </w:rPr>
        <w:t xml:space="preserve"> Кубасского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EB11BC">
        <w:rPr>
          <w:rFonts w:ascii="Times New Roman" w:hAnsi="Times New Roman"/>
          <w:sz w:val="28"/>
          <w:szCs w:val="28"/>
          <w:lang w:val="tt-RU"/>
        </w:rPr>
        <w:t>03.10.2015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года №</w:t>
      </w:r>
      <w:r w:rsidR="00EB11BC">
        <w:rPr>
          <w:rFonts w:ascii="Times New Roman" w:hAnsi="Times New Roman"/>
          <w:sz w:val="28"/>
          <w:szCs w:val="28"/>
          <w:lang w:val="tt-RU"/>
        </w:rPr>
        <w:t xml:space="preserve"> 2 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FC2EFA" w:rsidRPr="00574A38" w:rsidRDefault="00FC2EFA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5249" w:rsidRPr="00DC6A1F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1BC"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EB11BC">
        <w:rPr>
          <w:rFonts w:ascii="Times New Roman" w:hAnsi="Times New Roman"/>
          <w:sz w:val="28"/>
          <w:szCs w:val="28"/>
        </w:rPr>
        <w:t xml:space="preserve"> </w:t>
      </w:r>
      <w:r w:rsidR="009E1403"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FC2EFA">
        <w:rPr>
          <w:rFonts w:ascii="Times New Roman" w:hAnsi="Times New Roman"/>
          <w:sz w:val="28"/>
          <w:szCs w:val="28"/>
        </w:rPr>
        <w:t>Республики Татарстан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</w:t>
      </w:r>
      <w:r w:rsidR="00FC2EFA">
        <w:rPr>
          <w:rFonts w:ascii="Times New Roman" w:hAnsi="Times New Roman"/>
          <w:sz w:val="28"/>
          <w:szCs w:val="28"/>
        </w:rPr>
        <w:t xml:space="preserve">                                 Н.С. Логинова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EB11BC"/>
    <w:rsid w:val="00F15C13"/>
    <w:rsid w:val="00FC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Логинова Наталья</cp:lastModifiedBy>
  <cp:revision>11</cp:revision>
  <cp:lastPrinted>2024-07-26T06:07:00Z</cp:lastPrinted>
  <dcterms:created xsi:type="dcterms:W3CDTF">2024-07-24T06:51:00Z</dcterms:created>
  <dcterms:modified xsi:type="dcterms:W3CDTF">2024-07-26T06:08:00Z</dcterms:modified>
</cp:coreProperties>
</file>