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A076" w14:textId="77777777" w:rsidR="00EE242F" w:rsidRPr="0047150D" w:rsidRDefault="00EE242F" w:rsidP="0047150D">
      <w:pPr>
        <w:rPr>
          <w:rFonts w:ascii="Arial" w:hAnsi="Arial" w:cs="Arial"/>
          <w:color w:val="auto"/>
        </w:rPr>
      </w:pPr>
    </w:p>
    <w:p w14:paraId="4B2E7ADA" w14:textId="505A1951" w:rsidR="00810583" w:rsidRPr="0047150D" w:rsidRDefault="00D31FBD" w:rsidP="007961F6">
      <w:pPr>
        <w:tabs>
          <w:tab w:val="left" w:pos="7245"/>
        </w:tabs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06D296" wp14:editId="4BC98C59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3A72E7">
        <w:rPr>
          <w:rFonts w:ascii="Arial" w:hAnsi="Arial" w:cs="Arial"/>
          <w:color w:val="auto"/>
        </w:rPr>
        <w:t xml:space="preserve">БЛАНК </w:t>
      </w:r>
      <w:r w:rsidR="00810583" w:rsidRPr="0047150D">
        <w:rPr>
          <w:rFonts w:ascii="Arial" w:hAnsi="Arial" w:cs="Arial"/>
          <w:color w:val="auto"/>
        </w:rPr>
        <w:t xml:space="preserve"> </w:t>
      </w:r>
      <w:r w:rsidR="007961F6">
        <w:rPr>
          <w:rFonts w:ascii="Arial" w:hAnsi="Arial" w:cs="Arial"/>
          <w:color w:val="auto"/>
        </w:rPr>
        <w:tab/>
        <w:t xml:space="preserve">               ПРОЕКТ</w:t>
      </w:r>
    </w:p>
    <w:p w14:paraId="512BC893" w14:textId="77777777"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14:paraId="17BA7EE7" w14:textId="77777777"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14:paraId="68A3330A" w14:textId="77777777"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14:paraId="57E9FFA4" w14:textId="77777777"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14:paraId="47011DD4" w14:textId="77777777"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14:paraId="10E23366" w14:textId="77777777"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14:paraId="50DA7A50" w14:textId="77777777"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14:paraId="689339FC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73245A1A" w14:textId="3575609F"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9C2611">
        <w:rPr>
          <w:rFonts w:ascii="Arial" w:hAnsi="Arial" w:cs="Arial"/>
        </w:rPr>
        <w:t xml:space="preserve">Совхозно-Галактионовского 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14:paraId="54A18451" w14:textId="77777777"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14:paraId="535DEE6B" w14:textId="77777777"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14:paraId="5590544A" w14:textId="77777777"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14:paraId="1CFE776C" w14:textId="60F4D0E3" w:rsidR="00A016C7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14:paraId="2AFE7C9E" w14:textId="63524B1B" w:rsidR="007961F6" w:rsidRDefault="007961F6" w:rsidP="007961F6">
      <w:pPr>
        <w:rPr>
          <w:rFonts w:ascii="Arial" w:hAnsi="Arial" w:cs="Arial"/>
          <w:color w:val="auto"/>
        </w:rPr>
      </w:pPr>
    </w:p>
    <w:p w14:paraId="671823E5" w14:textId="77777777" w:rsidR="007961F6" w:rsidRPr="007961F6" w:rsidRDefault="007961F6" w:rsidP="007961F6">
      <w:pPr>
        <w:rPr>
          <w:rFonts w:ascii="Arial" w:hAnsi="Arial" w:cs="Arial"/>
          <w:color w:val="auto"/>
        </w:rPr>
      </w:pPr>
    </w:p>
    <w:p w14:paraId="69382A39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2AB8AB31" w14:textId="77777777" w:rsidR="00EE242F" w:rsidRPr="0047150D" w:rsidRDefault="00EE242F" w:rsidP="0047150D">
      <w:pPr>
        <w:rPr>
          <w:rFonts w:ascii="Arial" w:hAnsi="Arial" w:cs="Arial"/>
          <w:color w:val="auto"/>
        </w:rPr>
      </w:pPr>
    </w:p>
    <w:p w14:paraId="098C5284" w14:textId="65CB3AE7" w:rsidR="003A18D3" w:rsidRPr="0047150D" w:rsidRDefault="009C2611" w:rsidP="009C2611">
      <w:pPr>
        <w:tabs>
          <w:tab w:val="left" w:pos="7095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</w:t>
      </w:r>
      <w:r w:rsidR="003A18D3" w:rsidRPr="0047150D">
        <w:rPr>
          <w:rFonts w:ascii="Arial" w:hAnsi="Arial" w:cs="Arial"/>
          <w:color w:val="auto"/>
        </w:rPr>
        <w:t xml:space="preserve">Глава </w:t>
      </w:r>
      <w:r>
        <w:rPr>
          <w:rFonts w:ascii="Arial" w:eastAsia="Times New Roman" w:hAnsi="Arial" w:cs="Arial"/>
        </w:rPr>
        <w:t>Совхозно-Галактионовского</w:t>
      </w:r>
      <w:r>
        <w:rPr>
          <w:rFonts w:ascii="Arial" w:eastAsia="Times New Roman" w:hAnsi="Arial" w:cs="Arial"/>
        </w:rPr>
        <w:tab/>
        <w:t xml:space="preserve">       А.Ф.Шамгунов</w:t>
      </w:r>
    </w:p>
    <w:p w14:paraId="67465204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0FC548E9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1E8AC3E0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4C8928D0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44EF957E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3646EC20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59DD49EF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196A4C83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1E060CA4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691FBB41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015F97FD" w14:textId="77777777" w:rsidR="00810583" w:rsidRPr="0047150D" w:rsidRDefault="00810583" w:rsidP="0047150D">
      <w:pPr>
        <w:rPr>
          <w:rFonts w:ascii="Arial" w:hAnsi="Arial" w:cs="Arial"/>
          <w:color w:val="auto"/>
        </w:rPr>
      </w:pPr>
    </w:p>
    <w:p w14:paraId="4B56838D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51018C5E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4372D6C7" w14:textId="77777777" w:rsidR="003A18D3" w:rsidRPr="0047150D" w:rsidRDefault="003A18D3" w:rsidP="0047150D">
      <w:pPr>
        <w:rPr>
          <w:rFonts w:ascii="Arial" w:hAnsi="Arial" w:cs="Arial"/>
          <w:color w:val="auto"/>
        </w:rPr>
      </w:pPr>
    </w:p>
    <w:p w14:paraId="27A667F6" w14:textId="77777777" w:rsidR="00EE242F" w:rsidRPr="0047150D" w:rsidRDefault="00EE242F" w:rsidP="0047150D">
      <w:pPr>
        <w:rPr>
          <w:rFonts w:ascii="Arial" w:hAnsi="Arial" w:cs="Arial"/>
          <w:color w:val="auto"/>
        </w:rPr>
      </w:pPr>
    </w:p>
    <w:p w14:paraId="35EF0FC6" w14:textId="77777777" w:rsidR="00EE242F" w:rsidRPr="0047150D" w:rsidRDefault="00EE242F" w:rsidP="0047150D">
      <w:pPr>
        <w:rPr>
          <w:rFonts w:ascii="Arial" w:hAnsi="Arial" w:cs="Arial"/>
          <w:color w:val="auto"/>
        </w:rPr>
      </w:pPr>
    </w:p>
    <w:p w14:paraId="2F3CFCBE" w14:textId="77777777" w:rsidR="00EE242F" w:rsidRPr="0047150D" w:rsidRDefault="00EE242F" w:rsidP="0047150D">
      <w:pPr>
        <w:rPr>
          <w:rFonts w:ascii="Arial" w:hAnsi="Arial" w:cs="Arial"/>
          <w:color w:val="auto"/>
        </w:rPr>
      </w:pPr>
    </w:p>
    <w:p w14:paraId="7790C96C" w14:textId="77777777" w:rsidR="00A121AC" w:rsidRPr="0047150D" w:rsidRDefault="00A121AC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14:paraId="088C2BAC" w14:textId="77777777"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14:paraId="04742DA5" w14:textId="77777777"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14:paraId="7807C358" w14:textId="77777777"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14:paraId="5CDDEDD8" w14:textId="77777777"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14:paraId="48FA6071" w14:textId="0384E133"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9C2611">
        <w:rPr>
          <w:rFonts w:ascii="Arial" w:eastAsia="Times New Roman" w:hAnsi="Arial" w:cs="Arial"/>
        </w:rPr>
        <w:t xml:space="preserve">Совхозно-Галактионовского 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14:paraId="4852BB3F" w14:textId="77777777"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14:paraId="28E644D1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14:paraId="24EAD31B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14:paraId="7EBFC828" w14:textId="77777777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14:paraId="5FB169BB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14:paraId="34320A3E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14:paraId="4CB90806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1E6EAC5B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14:paraId="16D6E26C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14:paraId="1F3DA9C6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7175B042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14:paraId="4AF7CB43" w14:textId="77777777" w:rsidR="0047150D" w:rsidRPr="0047150D" w:rsidRDefault="00FE3293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7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14:paraId="6302ED57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1BA6E201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14:paraId="6C39085E" w14:textId="7A759F73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9C2611">
              <w:rPr>
                <w:rFonts w:ascii="Arial" w:hAnsi="Arial" w:cs="Arial"/>
              </w:rPr>
              <w:t xml:space="preserve"> </w:t>
            </w:r>
            <w:r w:rsidR="009C2611">
              <w:rPr>
                <w:rFonts w:ascii="Arial" w:hAnsi="Arial" w:cs="Arial"/>
              </w:rPr>
              <w:t xml:space="preserve">Совхозно-Галактионовского </w:t>
            </w:r>
            <w:r w:rsidRPr="0047150D">
              <w:rPr>
                <w:rFonts w:ascii="Arial" w:hAnsi="Arial" w:cs="Arial"/>
              </w:rPr>
              <w:t>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14:paraId="0B756556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025811BA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14:paraId="07ACCE5C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14:paraId="3AF76B29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31BD4A68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14:paraId="45DC4EE0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14:paraId="2FCACB2E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14:paraId="11E17B75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14:paraId="1249DF85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14:paraId="3710A4A5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14:paraId="148911AE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14:paraId="6977FB7A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14:paraId="6AD48376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40D6D6B1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14:paraId="0CF71321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14:paraId="7DA58FC2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14:paraId="5388FD36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14:paraId="4966E4A5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14:paraId="0B5E7A97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14:paraId="4291B4DE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14:paraId="62E75B4E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75C42566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14:paraId="00DBAAAD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14:paraId="062F62A1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14:paraId="2C4B547F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60A6BA19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14:paraId="773E4E36" w14:textId="77777777"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14:paraId="2FD97132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60F54EBF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14:paraId="3DDAE195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14:paraId="110CF60F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14:paraId="39486AA0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14:paraId="2A2F596A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14:paraId="7585F073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14:paraId="2E666DC8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14:paraId="2A8E4AD4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14:paraId="7E775A8D" w14:textId="77777777" w:rsidTr="0047150D">
        <w:trPr>
          <w:tblCellSpacing w:w="15" w:type="dxa"/>
        </w:trPr>
        <w:tc>
          <w:tcPr>
            <w:tcW w:w="0" w:type="auto"/>
            <w:hideMark/>
          </w:tcPr>
          <w:p w14:paraId="43D85E42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14:paraId="5EA4F4AC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14:paraId="794B5D7F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14:paraId="5B4ECA5F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14:paraId="78B67474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14:paraId="0A9E6D18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14:paraId="7ACBFB5F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14:paraId="43D9DAEB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3" w:name="P000E"/>
      <w:bookmarkEnd w:id="3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14:paraId="17B0416A" w14:textId="77777777"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14:paraId="5FCA4364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14:paraId="6D8842E5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14:paraId="1F7B36CA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4" w:name="P0015"/>
      <w:bookmarkEnd w:id="4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14:paraId="54F1B6ED" w14:textId="77777777"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14:paraId="5803903E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14:paraId="1BC174D1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14:paraId="67AB24AE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14:paraId="2BAB0E3D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14:paraId="5C4E0AA2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14:paraId="38FAC5D7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14:paraId="07848C8B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14:paraId="03107642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14:paraId="29957993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6" w:name="P0021"/>
      <w:bookmarkEnd w:id="6"/>
    </w:p>
    <w:p w14:paraId="6665CDB3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14:paraId="04754F5B" w14:textId="77777777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14:paraId="6A913FF0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14:paraId="614EDA50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14:paraId="291A2022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14:paraId="6A4F6F7F" w14:textId="77777777"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14:paraId="194D9785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FEF9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50AD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DBDB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46B0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14:paraId="0309B58B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8B07" w14:textId="77777777"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70D9" w14:textId="77777777"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FE7C" w14:textId="77777777"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CA17" w14:textId="77777777"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14:paraId="0823AB6D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393D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A54B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14:paraId="1227E758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DE2F" w14:textId="77777777"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61ED" w14:textId="77777777"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14:paraId="031C249D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1E68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343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AEE6" w14:textId="77777777"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71D1" w14:textId="77777777"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14:paraId="7C66E0DF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BA9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E2D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9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47E2" w14:textId="77777777"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ACE6" w14:textId="77777777"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14:paraId="5A52698B" w14:textId="77777777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CBD1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CDB2" w14:textId="77777777"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14:paraId="62AFE50D" w14:textId="77777777"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1731" w14:textId="77777777"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62C1" w14:textId="77777777"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14:paraId="26A7D4C3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7" w:name="P0024"/>
      <w:bookmarkEnd w:id="7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14:paraId="0F99F976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8" w:name="P0027"/>
      <w:bookmarkEnd w:id="8"/>
    </w:p>
    <w:p w14:paraId="2103D552" w14:textId="77777777"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14:paraId="2B1B8022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14:paraId="590F6DEB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14:paraId="3FF8BAD8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14:paraId="4424CE94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14:paraId="5315E300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9" w:name="P002E"/>
      <w:bookmarkEnd w:id="9"/>
    </w:p>
    <w:p w14:paraId="09B24BAC" w14:textId="77777777"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14:paraId="180DC2B4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14:paraId="62F3363A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14:paraId="277429CF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14:paraId="2E74C2C4" w14:textId="77777777"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14:paraId="5060A781" w14:textId="77777777"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20A07" w14:textId="77777777" w:rsidR="00FE3293" w:rsidRDefault="00FE3293">
      <w:r>
        <w:separator/>
      </w:r>
    </w:p>
  </w:endnote>
  <w:endnote w:type="continuationSeparator" w:id="0">
    <w:p w14:paraId="415D87FC" w14:textId="77777777" w:rsidR="00FE3293" w:rsidRDefault="00FE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85B3B" w14:textId="77777777" w:rsidR="00FE3293" w:rsidRDefault="00FE3293"/>
  </w:footnote>
  <w:footnote w:type="continuationSeparator" w:id="0">
    <w:p w14:paraId="453DC5B8" w14:textId="77777777" w:rsidR="00FE3293" w:rsidRDefault="00FE3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7961F6"/>
    <w:rsid w:val="00810583"/>
    <w:rsid w:val="00824375"/>
    <w:rsid w:val="0093755E"/>
    <w:rsid w:val="00964767"/>
    <w:rsid w:val="009826E1"/>
    <w:rsid w:val="009C261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87E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Alexandrovka</cp:lastModifiedBy>
  <cp:revision>5</cp:revision>
  <dcterms:created xsi:type="dcterms:W3CDTF">2026-03-31T12:48:00Z</dcterms:created>
  <dcterms:modified xsi:type="dcterms:W3CDTF">2026-04-01T08:37:00Z</dcterms:modified>
</cp:coreProperties>
</file>