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3" w:rsidRDefault="00810583" w:rsidP="003A18D3">
      <w:pPr>
        <w:ind w:right="5096"/>
        <w:rPr>
          <w:rFonts w:ascii="Times New Roman" w:hAnsi="Times New Roman" w:cs="Times New Roman"/>
        </w:rPr>
      </w:pPr>
      <w:bookmarkStart w:id="0" w:name="bookmark0"/>
    </w:p>
    <w:p w:rsidR="00AC5559" w:rsidRDefault="00AC5559" w:rsidP="00AC5559">
      <w:pPr>
        <w:tabs>
          <w:tab w:val="left" w:pos="5580"/>
        </w:tabs>
        <w:ind w:right="4235"/>
        <w:jc w:val="both"/>
        <w:rPr>
          <w:sz w:val="28"/>
          <w:szCs w:val="28"/>
        </w:rPr>
      </w:pPr>
      <w:r w:rsidRPr="00FE7891">
        <w:rPr>
          <w:noProof/>
          <w:lang w:bidi="ar-SA"/>
        </w:rPr>
        <w:drawing>
          <wp:inline distT="0" distB="0" distL="0" distR="0">
            <wp:extent cx="5943600" cy="1876425"/>
            <wp:effectExtent l="0" t="0" r="0" b="9525"/>
            <wp:docPr id="2" name="Рисунок 2" descr="C:\Users\ilsiar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ilsiar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AC5559" w:rsidRPr="00BA4048" w:rsidTr="00481423">
        <w:tc>
          <w:tcPr>
            <w:tcW w:w="4572" w:type="dxa"/>
          </w:tcPr>
          <w:p w:rsidR="00AC5559" w:rsidRPr="00BA4048" w:rsidRDefault="00AC5559" w:rsidP="00481423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4651E8">
              <w:rPr>
                <w:rFonts w:ascii="Arial" w:hAnsi="Arial" w:cs="Arial"/>
                <w:i/>
                <w:iCs/>
                <w:lang w:val="en-US"/>
              </w:rPr>
              <w:t xml:space="preserve">        </w:t>
            </w:r>
            <w:r w:rsidRPr="00BA4048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AC5559" w:rsidRPr="00BA4048" w:rsidRDefault="00AC5559" w:rsidP="00481423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2" w:type="dxa"/>
          </w:tcPr>
          <w:p w:rsidR="00AC5559" w:rsidRPr="00BA4048" w:rsidRDefault="00AC5559" w:rsidP="00481423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BA4048">
              <w:rPr>
                <w:rFonts w:ascii="Arial" w:hAnsi="Arial" w:cs="Arial"/>
                <w:i/>
                <w:iCs/>
              </w:rPr>
              <w:t xml:space="preserve">       Карар</w:t>
            </w:r>
          </w:p>
        </w:tc>
      </w:tr>
    </w:tbl>
    <w:p w:rsidR="00AC5559" w:rsidRDefault="00AC5559" w:rsidP="003A18D3">
      <w:pPr>
        <w:ind w:right="5096"/>
        <w:rPr>
          <w:rFonts w:ascii="Times New Roman" w:hAnsi="Times New Roman" w:cs="Times New Roman"/>
        </w:rPr>
      </w:pPr>
    </w:p>
    <w:p w:rsidR="00EE242F" w:rsidRDefault="00AC5559" w:rsidP="003A18D3">
      <w:pPr>
        <w:ind w:right="5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 №__</w:t>
      </w: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Pr="00EE242F" w:rsidRDefault="00AC5559" w:rsidP="00AC5559">
      <w:pPr>
        <w:ind w:right="50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1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AC5559">
        <w:rPr>
          <w:rFonts w:ascii="Times New Roman" w:hAnsi="Times New Roman" w:cs="Times New Roman"/>
        </w:rPr>
        <w:t xml:space="preserve">Булдырского </w:t>
      </w:r>
      <w:r w:rsidR="003A18D3" w:rsidRPr="00EE242F">
        <w:rPr>
          <w:rFonts w:ascii="Times New Roman" w:hAnsi="Times New Roman" w:cs="Times New Roman"/>
        </w:rPr>
        <w:t xml:space="preserve">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AC5559">
        <w:rPr>
          <w:rFonts w:ascii="Times New Roman" w:hAnsi="Times New Roman" w:cs="Times New Roman"/>
        </w:rPr>
        <w:t xml:space="preserve">25/2 </w:t>
      </w:r>
      <w:r w:rsidRPr="00EE242F">
        <w:rPr>
          <w:rFonts w:ascii="Times New Roman" w:hAnsi="Times New Roman" w:cs="Times New Roman"/>
        </w:rPr>
        <w:t>«</w:t>
      </w:r>
      <w:r w:rsidR="003A18D3" w:rsidRPr="00EE242F">
        <w:rPr>
          <w:rFonts w:ascii="Times New Roman" w:hAnsi="Times New Roman" w:cs="Times New Roman"/>
          <w:bCs/>
        </w:rPr>
        <w:t xml:space="preserve">О Положении о муниципальном контроле в сфере благоустройства на территории </w:t>
      </w:r>
      <w:r w:rsidR="00AC5559">
        <w:rPr>
          <w:rFonts w:ascii="Times New Roman" w:hAnsi="Times New Roman" w:cs="Times New Roman"/>
          <w:bCs/>
        </w:rPr>
        <w:t>Булдырского</w:t>
      </w:r>
      <w:r w:rsidR="003A18D3" w:rsidRPr="00EE242F">
        <w:rPr>
          <w:rFonts w:ascii="Times New Roman" w:hAnsi="Times New Roman" w:cs="Times New Roman"/>
          <w:bCs/>
        </w:rPr>
        <w:t xml:space="preserve"> сельского поселения Чистопольского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</w:t>
      </w:r>
      <w:r w:rsidR="00AC5559">
        <w:rPr>
          <w:rFonts w:ascii="Times New Roman" w:hAnsi="Times New Roman" w:cs="Times New Roman"/>
        </w:rPr>
        <w:t xml:space="preserve">Булдырского </w:t>
      </w:r>
      <w:r w:rsidR="003A18D3" w:rsidRPr="00EE242F">
        <w:rPr>
          <w:rFonts w:ascii="Times New Roman" w:hAnsi="Times New Roman" w:cs="Times New Roman"/>
        </w:rPr>
        <w:t xml:space="preserve">сельского поселения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Default="003A18D3" w:rsidP="009826E1">
      <w:pPr>
        <w:rPr>
          <w:rFonts w:ascii="Times New Roman" w:hAnsi="Times New Roman" w:cs="Times New Roman"/>
        </w:rPr>
      </w:pPr>
    </w:p>
    <w:p w:rsidR="00AC5559" w:rsidRDefault="00AC5559" w:rsidP="009826E1">
      <w:pPr>
        <w:rPr>
          <w:rFonts w:ascii="Times New Roman" w:hAnsi="Times New Roman" w:cs="Times New Roman"/>
        </w:rPr>
      </w:pPr>
    </w:p>
    <w:p w:rsidR="00AC5559" w:rsidRPr="00EE242F" w:rsidRDefault="00AC5559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AC5559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Глава</w:t>
      </w:r>
      <w:r w:rsidR="00AC5559">
        <w:rPr>
          <w:rFonts w:ascii="Times New Roman" w:hAnsi="Times New Roman" w:cs="Times New Roman"/>
        </w:rPr>
        <w:t xml:space="preserve"> Булдырского сельского поселения</w:t>
      </w:r>
    </w:p>
    <w:p w:rsidR="00AC5559" w:rsidRDefault="00AC5559" w:rsidP="00982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Чистопольского муниципального района</w:t>
      </w:r>
    </w:p>
    <w:p w:rsidR="003A18D3" w:rsidRPr="00EE242F" w:rsidRDefault="00AC5559" w:rsidP="00982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  <w:r w:rsidR="003A18D3" w:rsidRPr="00EE2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>Н.Н. Воляков</w:t>
      </w:r>
    </w:p>
    <w:p w:rsidR="003A18D3" w:rsidRPr="00EE242F" w:rsidRDefault="00AC5559" w:rsidP="00AC5559">
      <w:pPr>
        <w:tabs>
          <w:tab w:val="left" w:pos="67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EE242F" w:rsidRPr="00EE242F" w:rsidRDefault="00EE242F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</w:t>
      </w:r>
      <w:r w:rsidR="00AC5559">
        <w:rPr>
          <w:rFonts w:ascii="Times New Roman" w:hAnsi="Times New Roman" w:cs="Times New Roman"/>
        </w:rPr>
        <w:t>проекту постановления</w:t>
      </w:r>
      <w:r w:rsidRPr="00EE242F">
        <w:rPr>
          <w:rFonts w:ascii="Times New Roman" w:hAnsi="Times New Roman" w:cs="Times New Roman"/>
        </w:rPr>
        <w:t xml:space="preserve"> </w:t>
      </w:r>
      <w:r w:rsidR="00810583" w:rsidRPr="00EE242F">
        <w:rPr>
          <w:rFonts w:ascii="Times New Roman" w:hAnsi="Times New Roman" w:cs="Times New Roman"/>
        </w:rPr>
        <w:t xml:space="preserve">Исполнительного комитета </w:t>
      </w:r>
      <w:r w:rsidR="00AC5559">
        <w:rPr>
          <w:rFonts w:ascii="Times New Roman" w:hAnsi="Times New Roman" w:cs="Times New Roman"/>
        </w:rPr>
        <w:t>Булдырского</w:t>
      </w:r>
      <w:r w:rsidR="00810583" w:rsidRPr="00EE242F">
        <w:rPr>
          <w:rFonts w:ascii="Times New Roman" w:hAnsi="Times New Roman" w:cs="Times New Roman"/>
        </w:rPr>
        <w:t xml:space="preserve"> сельского поселения Чистопольского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r w:rsidR="00AC5559">
        <w:rPr>
          <w:rFonts w:ascii="Times New Roman" w:hAnsi="Times New Roman" w:cs="Times New Roman"/>
        </w:rPr>
        <w:t xml:space="preserve">Булдырского </w:t>
      </w:r>
      <w:bookmarkStart w:id="2" w:name="_GoBack"/>
      <w:bookmarkEnd w:id="2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За 2023 год плановых и внеплановых проверок при осуществлении муниципального </w:t>
      </w:r>
      <w:r w:rsidRPr="00EE242F">
        <w:rPr>
          <w:rFonts w:ascii="Times New Roman" w:hAnsi="Times New Roman" w:cs="Times New Roman"/>
        </w:rPr>
        <w:lastRenderedPageBreak/>
        <w:t>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В соответствии с Положением о муниципальном контроле в сфере благоустройства на территории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Чистопольского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54701E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54701E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8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54701E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61" w:rsidRDefault="00407961">
      <w:r>
        <w:separator/>
      </w:r>
    </w:p>
  </w:endnote>
  <w:endnote w:type="continuationSeparator" w:id="0">
    <w:p w:rsidR="00407961" w:rsidRDefault="0040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61" w:rsidRDefault="00407961"/>
  </w:footnote>
  <w:footnote w:type="continuationSeparator" w:id="0">
    <w:p w:rsidR="00407961" w:rsidRDefault="004079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3A18D3"/>
    <w:rsid w:val="00407961"/>
    <w:rsid w:val="0054701E"/>
    <w:rsid w:val="00810583"/>
    <w:rsid w:val="00824375"/>
    <w:rsid w:val="009826E1"/>
    <w:rsid w:val="00A016C7"/>
    <w:rsid w:val="00AC5559"/>
    <w:rsid w:val="00C2104C"/>
    <w:rsid w:val="00D31FB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27C1"/>
  <w15:docId w15:val="{EEA1146B-115D-46A2-A7FB-74FA973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ИРИНА</cp:lastModifiedBy>
  <cp:revision>2</cp:revision>
  <dcterms:created xsi:type="dcterms:W3CDTF">2023-12-28T06:19:00Z</dcterms:created>
  <dcterms:modified xsi:type="dcterms:W3CDTF">2023-12-28T06:19:00Z</dcterms:modified>
</cp:coreProperties>
</file>