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B50F19" w:rsidP="00016F6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</w:t>
      </w:r>
      <w:r w:rsidR="00303B35" w:rsidRPr="00007B47">
        <w:rPr>
          <w:bCs/>
          <w:iCs/>
          <w:sz w:val="28"/>
          <w:szCs w:val="28"/>
        </w:rPr>
        <w:t>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="00303B35"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B50F19">
        <w:rPr>
          <w:sz w:val="28"/>
          <w:szCs w:val="28"/>
        </w:rPr>
        <w:t>22.07.</w:t>
      </w:r>
      <w:r w:rsidR="005F3BC4" w:rsidRPr="00007B47">
        <w:rPr>
          <w:sz w:val="28"/>
          <w:szCs w:val="28"/>
        </w:rPr>
        <w:t xml:space="preserve">2013 № </w:t>
      </w:r>
      <w:r w:rsidR="00B50F19">
        <w:rPr>
          <w:sz w:val="28"/>
          <w:szCs w:val="28"/>
        </w:rPr>
        <w:t>8/1</w:t>
      </w:r>
      <w:r w:rsidR="00557096">
        <w:rPr>
          <w:sz w:val="28"/>
          <w:szCs w:val="28"/>
        </w:rPr>
        <w:t xml:space="preserve"> </w:t>
      </w:r>
      <w:r w:rsidR="005F3BC4" w:rsidRPr="00007B47">
        <w:rPr>
          <w:sz w:val="28"/>
          <w:szCs w:val="28"/>
        </w:rPr>
        <w:t>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Сарсазское</w:t>
      </w:r>
      <w:proofErr w:type="spellEnd"/>
      <w:r w:rsidR="00B50F19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Сарсазское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007B47" w:rsidRPr="00007B47">
        <w:rPr>
          <w:sz w:val="28"/>
          <w:szCs w:val="28"/>
        </w:rPr>
        <w:t xml:space="preserve">от </w:t>
      </w:r>
      <w:r w:rsidR="00B50F19">
        <w:rPr>
          <w:sz w:val="28"/>
          <w:szCs w:val="28"/>
        </w:rPr>
        <w:t>22.07.</w:t>
      </w:r>
      <w:r w:rsidR="00007B47" w:rsidRPr="00007B47">
        <w:rPr>
          <w:sz w:val="28"/>
          <w:szCs w:val="28"/>
        </w:rPr>
        <w:t xml:space="preserve">2013 г. № </w:t>
      </w:r>
      <w:r w:rsidR="00B50F19">
        <w:rPr>
          <w:sz w:val="28"/>
          <w:szCs w:val="28"/>
        </w:rPr>
        <w:t>8/1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 w:rsidR="00B50F19">
        <w:rPr>
          <w:bCs/>
          <w:iCs/>
          <w:sz w:val="28"/>
          <w:szCs w:val="28"/>
        </w:rPr>
        <w:t>Татарско-</w:t>
      </w:r>
      <w:proofErr w:type="spellStart"/>
      <w:r w:rsidR="00B50F19">
        <w:rPr>
          <w:bCs/>
          <w:iCs/>
          <w:sz w:val="28"/>
          <w:szCs w:val="28"/>
        </w:rPr>
        <w:t>Сарсазского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 </w:t>
      </w:r>
      <w:proofErr w:type="spellStart"/>
      <w:r w:rsidR="00B50F19">
        <w:rPr>
          <w:sz w:val="28"/>
          <w:szCs w:val="28"/>
        </w:rPr>
        <w:t>С.С.Мусин</w:t>
      </w:r>
      <w:proofErr w:type="spellEnd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82" w:rsidRDefault="00765882" w:rsidP="00D71E76">
      <w:r>
        <w:separator/>
      </w:r>
    </w:p>
  </w:endnote>
  <w:endnote w:type="continuationSeparator" w:id="0">
    <w:p w:rsidR="00765882" w:rsidRDefault="00765882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82" w:rsidRDefault="00765882" w:rsidP="00D71E76">
      <w:r>
        <w:separator/>
      </w:r>
    </w:p>
  </w:footnote>
  <w:footnote w:type="continuationSeparator" w:id="0">
    <w:p w:rsidR="00765882" w:rsidRDefault="00765882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268C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4044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161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57096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65882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3F9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5ADB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0F19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3AF6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1CAA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09B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96E4-5FD1-4FDF-AADD-A8182366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tatsarsaz</cp:lastModifiedBy>
  <cp:revision>2</cp:revision>
  <cp:lastPrinted>2021-10-05T06:15:00Z</cp:lastPrinted>
  <dcterms:created xsi:type="dcterms:W3CDTF">2022-11-17T05:37:00Z</dcterms:created>
  <dcterms:modified xsi:type="dcterms:W3CDTF">2022-11-17T05:37:00Z</dcterms:modified>
</cp:coreProperties>
</file>