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B047DF" w:rsidRPr="00B047DF" w:rsidRDefault="00B047DF" w:rsidP="00B047DF">
      <w:pPr>
        <w:spacing w:after="0"/>
        <w:jc w:val="center"/>
        <w:rPr>
          <w:rFonts w:ascii="Times New Roman" w:hAnsi="Times New Roman"/>
          <w:sz w:val="24"/>
          <w:szCs w:val="24"/>
        </w:rPr>
      </w:pPr>
      <w:r w:rsidRPr="00B047DF">
        <w:rPr>
          <w:rFonts w:ascii="Times New Roman" w:hAnsi="Times New Roman"/>
          <w:sz w:val="24"/>
          <w:szCs w:val="24"/>
        </w:rPr>
        <w:t xml:space="preserve">Решение </w:t>
      </w:r>
    </w:p>
    <w:p w:rsidR="00B047DF" w:rsidRPr="00B047DF" w:rsidRDefault="00B047DF" w:rsidP="00B047DF">
      <w:pPr>
        <w:spacing w:after="0"/>
        <w:jc w:val="center"/>
        <w:rPr>
          <w:rFonts w:ascii="Times New Roman" w:hAnsi="Times New Roman"/>
          <w:sz w:val="24"/>
          <w:szCs w:val="24"/>
        </w:rPr>
      </w:pPr>
      <w:r w:rsidRPr="00B047DF">
        <w:rPr>
          <w:rFonts w:ascii="Times New Roman" w:hAnsi="Times New Roman"/>
          <w:sz w:val="24"/>
          <w:szCs w:val="24"/>
        </w:rPr>
        <w:t xml:space="preserve">Совета Булдырского сельского поселения </w:t>
      </w:r>
    </w:p>
    <w:p w:rsidR="00B047DF" w:rsidRPr="00B047DF" w:rsidRDefault="00B047DF" w:rsidP="00B047DF">
      <w:pPr>
        <w:spacing w:after="0"/>
        <w:jc w:val="center"/>
        <w:rPr>
          <w:rFonts w:ascii="Times New Roman" w:hAnsi="Times New Roman"/>
          <w:sz w:val="24"/>
          <w:szCs w:val="24"/>
        </w:rPr>
      </w:pPr>
      <w:r w:rsidRPr="00B047DF">
        <w:rPr>
          <w:rFonts w:ascii="Times New Roman" w:hAnsi="Times New Roman"/>
          <w:sz w:val="24"/>
          <w:szCs w:val="24"/>
        </w:rPr>
        <w:t>Чистопольского муниципального района</w:t>
      </w:r>
    </w:p>
    <w:p w:rsidR="00B047DF" w:rsidRPr="00B047DF" w:rsidRDefault="00B047DF" w:rsidP="00B047DF">
      <w:pPr>
        <w:spacing w:after="0"/>
        <w:jc w:val="center"/>
        <w:rPr>
          <w:rFonts w:ascii="Times New Roman" w:hAnsi="Times New Roman"/>
          <w:bCs/>
          <w:sz w:val="24"/>
          <w:szCs w:val="24"/>
        </w:rPr>
      </w:pPr>
      <w:r w:rsidRPr="00B047DF">
        <w:rPr>
          <w:rFonts w:ascii="Times New Roman" w:hAnsi="Times New Roman"/>
          <w:sz w:val="24"/>
          <w:szCs w:val="24"/>
        </w:rPr>
        <w:t>Республики Татарстан</w:t>
      </w:r>
    </w:p>
    <w:p w:rsidR="00B047DF" w:rsidRPr="00941284" w:rsidRDefault="00B047DF" w:rsidP="00B047DF">
      <w:pPr>
        <w:pStyle w:val="1"/>
        <w:rPr>
          <w:b w:val="0"/>
          <w:sz w:val="28"/>
          <w:szCs w:val="28"/>
        </w:rPr>
      </w:pPr>
    </w:p>
    <w:p w:rsidR="00B047DF" w:rsidRPr="00941284" w:rsidRDefault="00B047DF" w:rsidP="00B047DF">
      <w:pPr>
        <w:pStyle w:val="1"/>
        <w:jc w:val="left"/>
        <w:rPr>
          <w:b w:val="0"/>
          <w:sz w:val="28"/>
          <w:szCs w:val="28"/>
        </w:rPr>
      </w:pPr>
      <w:r w:rsidRPr="00941284">
        <w:rPr>
          <w:b w:val="0"/>
          <w:sz w:val="28"/>
          <w:szCs w:val="28"/>
        </w:rPr>
        <w:t xml:space="preserve">от ___________               </w:t>
      </w:r>
      <w:r>
        <w:rPr>
          <w:b w:val="0"/>
          <w:sz w:val="28"/>
          <w:szCs w:val="28"/>
        </w:rPr>
        <w:t xml:space="preserve">                                             </w:t>
      </w:r>
      <w:r w:rsidRPr="00941284">
        <w:rPr>
          <w:b w:val="0"/>
          <w:sz w:val="28"/>
          <w:szCs w:val="28"/>
        </w:rPr>
        <w:t>№ __</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A0146" w:rsidP="008516AB">
      <w:pPr>
        <w:pStyle w:val="HEADERTEXT"/>
        <w:rPr>
          <w:rFonts w:ascii="Times New Roman" w:hAnsi="Times New Roman" w:cs="Times New Roman"/>
          <w:bCs/>
          <w:color w:val="auto"/>
          <w:sz w:val="24"/>
          <w:szCs w:val="24"/>
        </w:rPr>
      </w:pPr>
    </w:p>
    <w:p w:rsidR="000F22BD" w:rsidRPr="00E14C57" w:rsidRDefault="000F22BD"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p>
    <w:p w:rsidR="000F22BD" w:rsidRPr="00E14C57" w:rsidRDefault="000F22BD" w:rsidP="000F22BD">
      <w:pPr>
        <w:pStyle w:val="HEADERTEXT"/>
        <w:jc w:val="right"/>
        <w:rPr>
          <w:rFonts w:ascii="Times New Roman" w:hAnsi="Times New Roman" w:cs="Times New Roman"/>
          <w:bCs/>
          <w:color w:val="auto"/>
          <w:sz w:val="24"/>
          <w:szCs w:val="24"/>
        </w:rPr>
      </w:pPr>
    </w:p>
    <w:p w:rsidR="00E14C57" w:rsidRDefault="00E14C57" w:rsidP="00B047DF">
      <w:pPr>
        <w:pStyle w:val="HEADERTEXT"/>
        <w:jc w:val="right"/>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bookmarkStart w:id="0" w:name="_GoBack"/>
      <w:r w:rsidRPr="00E14C57">
        <w:rPr>
          <w:rFonts w:ascii="Times New Roman" w:hAnsi="Times New Roman" w:cs="Times New Roman"/>
          <w:bCs/>
          <w:color w:val="auto"/>
          <w:sz w:val="24"/>
          <w:szCs w:val="24"/>
        </w:rPr>
        <w:t xml:space="preserve">О Положении о муниципальном контроле в сфере благоустройства на территории </w:t>
      </w:r>
      <w:r w:rsidR="00B047DF">
        <w:rPr>
          <w:rFonts w:ascii="Times New Roman" w:hAnsi="Times New Roman" w:cs="Times New Roman"/>
          <w:bCs/>
          <w:color w:val="auto"/>
          <w:sz w:val="24"/>
          <w:szCs w:val="24"/>
        </w:rPr>
        <w:t>Булдырского</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w:t>
      </w:r>
    </w:p>
    <w:bookmarkEnd w:id="0"/>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r w:rsidR="00B047DF">
        <w:rPr>
          <w:rFonts w:ascii="Times New Roman" w:hAnsi="Times New Roman" w:cs="Times New Roman"/>
          <w:sz w:val="24"/>
          <w:szCs w:val="24"/>
        </w:rPr>
        <w:t xml:space="preserve">Булдырское </w:t>
      </w:r>
      <w:r w:rsidRPr="00E14C57">
        <w:rPr>
          <w:rFonts w:ascii="Times New Roman" w:hAnsi="Times New Roman" w:cs="Times New Roman"/>
          <w:sz w:val="24"/>
          <w:szCs w:val="24"/>
        </w:rPr>
        <w:t xml:space="preserve">сельское поселение"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r w:rsidR="00B047DF">
        <w:rPr>
          <w:rFonts w:ascii="Times New Roman" w:hAnsi="Times New Roman" w:cs="Times New Roman"/>
          <w:sz w:val="24"/>
          <w:szCs w:val="24"/>
        </w:rPr>
        <w:t>Булдырского</w:t>
      </w:r>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r w:rsidR="00B047DF">
        <w:rPr>
          <w:rFonts w:ascii="Times New Roman" w:hAnsi="Times New Roman" w:cs="Times New Roman"/>
          <w:sz w:val="24"/>
          <w:szCs w:val="24"/>
        </w:rPr>
        <w:t>Булдырского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r w:rsidRPr="00E14C57">
        <w:rPr>
          <w:rFonts w:ascii="Times New Roman" w:hAnsi="Times New Roman" w:cs="Times New Roman"/>
          <w:sz w:val="24"/>
          <w:szCs w:val="24"/>
        </w:rPr>
        <w:t>Чистопольского</w:t>
      </w:r>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B047DF" w:rsidRDefault="00B047DF" w:rsidP="008516AB">
      <w:pPr>
        <w:pStyle w:val="FORMATTEXT"/>
        <w:jc w:val="both"/>
        <w:rPr>
          <w:rFonts w:ascii="Times New Roman" w:hAnsi="Times New Roman" w:cs="Times New Roman"/>
          <w:sz w:val="24"/>
          <w:szCs w:val="24"/>
        </w:rPr>
      </w:pPr>
    </w:p>
    <w:p w:rsidR="00B047DF" w:rsidRDefault="00B047DF" w:rsidP="008516AB">
      <w:pPr>
        <w:pStyle w:val="FORMATTEXT"/>
        <w:jc w:val="both"/>
        <w:rPr>
          <w:rFonts w:ascii="Times New Roman" w:hAnsi="Times New Roman" w:cs="Times New Roman"/>
          <w:sz w:val="24"/>
          <w:szCs w:val="24"/>
        </w:rPr>
      </w:pPr>
    </w:p>
    <w:p w:rsidR="00BA0146"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 xml:space="preserve">Глава </w:t>
      </w:r>
      <w:r w:rsidR="00B047DF">
        <w:rPr>
          <w:rFonts w:ascii="Times New Roman" w:hAnsi="Times New Roman" w:cs="Times New Roman"/>
          <w:sz w:val="24"/>
          <w:szCs w:val="24"/>
        </w:rPr>
        <w:t>Булдырского</w:t>
      </w:r>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p>
    <w:p w:rsidR="00BA0146" w:rsidRPr="00E14C57" w:rsidRDefault="00B047DF" w:rsidP="00B047DF">
      <w:pPr>
        <w:pStyle w:val="FORMATTEXT"/>
        <w:tabs>
          <w:tab w:val="left" w:pos="6930"/>
        </w:tabs>
        <w:rPr>
          <w:rFonts w:ascii="Times New Roman" w:hAnsi="Times New Roman" w:cs="Times New Roman"/>
          <w:sz w:val="24"/>
          <w:szCs w:val="24"/>
        </w:rPr>
      </w:pPr>
      <w:r>
        <w:rPr>
          <w:rFonts w:ascii="Times New Roman" w:hAnsi="Times New Roman" w:cs="Times New Roman"/>
          <w:sz w:val="24"/>
          <w:szCs w:val="24"/>
        </w:rPr>
        <w:tab/>
        <w:t>Н.Н. Воляков</w:t>
      </w: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B047DF">
        <w:rPr>
          <w:rFonts w:ascii="Times New Roman" w:hAnsi="Times New Roman" w:cs="Times New Roman"/>
          <w:sz w:val="24"/>
          <w:szCs w:val="24"/>
        </w:rPr>
        <w:t>Булдырского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B047DF">
        <w:rPr>
          <w:rFonts w:ascii="Times New Roman" w:hAnsi="Times New Roman" w:cs="Times New Roman"/>
          <w:bCs/>
          <w:color w:val="auto"/>
          <w:sz w:val="24"/>
          <w:szCs w:val="24"/>
        </w:rPr>
        <w:t>Булдырского</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B047DF">
        <w:rPr>
          <w:rFonts w:ascii="Times New Roman" w:hAnsi="Times New Roman" w:cs="Times New Roman"/>
          <w:bCs/>
          <w:sz w:val="24"/>
          <w:szCs w:val="24"/>
        </w:rPr>
        <w:t>Булдырского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B047DF">
        <w:rPr>
          <w:rFonts w:ascii="Times New Roman" w:hAnsi="Times New Roman" w:cs="Times New Roman"/>
          <w:bCs/>
          <w:sz w:val="24"/>
          <w:szCs w:val="24"/>
        </w:rPr>
        <w:t>Булдырского</w:t>
      </w:r>
      <w:r w:rsidR="00B047DF"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B047DF">
        <w:rPr>
          <w:rFonts w:ascii="Times New Roman" w:hAnsi="Times New Roman" w:cs="Times New Roman"/>
          <w:bCs/>
          <w:sz w:val="24"/>
          <w:szCs w:val="24"/>
        </w:rPr>
        <w:t>Булдырского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B047DF">
        <w:rPr>
          <w:rFonts w:ascii="Times New Roman" w:hAnsi="Times New Roman" w:cs="Times New Roman"/>
          <w:bCs/>
          <w:sz w:val="24"/>
          <w:szCs w:val="24"/>
        </w:rPr>
        <w:t>Булдырского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B047DF">
        <w:rPr>
          <w:rFonts w:ascii="Times New Roman" w:hAnsi="Times New Roman" w:cs="Times New Roman"/>
          <w:bCs/>
          <w:sz w:val="24"/>
          <w:szCs w:val="24"/>
        </w:rPr>
        <w:t>Булдырского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B047DF">
        <w:rPr>
          <w:rFonts w:ascii="Times New Roman" w:hAnsi="Times New Roman" w:cs="Times New Roman"/>
          <w:bCs/>
          <w:sz w:val="24"/>
          <w:szCs w:val="24"/>
        </w:rPr>
        <w:t>Булдырского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E14C57">
        <w:rPr>
          <w:rFonts w:ascii="Times New Roman" w:hAnsi="Times New Roman" w:cs="Times New Roman"/>
          <w:sz w:val="24"/>
          <w:szCs w:val="24"/>
        </w:rPr>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w:t>
      </w:r>
      <w:r w:rsidRPr="00E14C57">
        <w:rPr>
          <w:rFonts w:ascii="Times New Roman" w:hAnsi="Times New Roman" w:cs="Times New Roman"/>
          <w:sz w:val="24"/>
          <w:szCs w:val="24"/>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6"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по вопросам, связанным 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самообследования контролируемых лиц, проверочные листы размещаются и поддерживаются в актуальном состоянии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4.2.5. 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w:t>
      </w:r>
      <w:r w:rsidRPr="00E14C57">
        <w:rPr>
          <w:rFonts w:ascii="Times New Roman" w:hAnsi="Times New Roman" w:cs="Times New Roman"/>
          <w:sz w:val="24"/>
          <w:szCs w:val="24"/>
        </w:rPr>
        <w:lastRenderedPageBreak/>
        <w:t>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истечение срока исполнения предписания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w:t>
      </w:r>
      <w:r w:rsidRPr="00E14C57">
        <w:rPr>
          <w:rFonts w:ascii="Times New Roman" w:hAnsi="Times New Roman" w:cs="Times New Roman"/>
          <w:sz w:val="24"/>
          <w:szCs w:val="24"/>
        </w:rPr>
        <w:lastRenderedPageBreak/>
        <w:t>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аудио-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6.1. Решения и действия (бездействие) должностных лиц, осуществляющих </w:t>
      </w:r>
      <w:r w:rsidRPr="00E14C57">
        <w:rPr>
          <w:rFonts w:ascii="Times New Roman" w:hAnsi="Times New Roman" w:cs="Times New Roman"/>
          <w:sz w:val="24"/>
          <w:szCs w:val="24"/>
        </w:rPr>
        <w:lastRenderedPageBreak/>
        <w:t>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B047DF">
        <w:rPr>
          <w:rFonts w:ascii="Times New Roman" w:hAnsi="Times New Roman" w:cs="Times New Roman"/>
          <w:bCs/>
          <w:sz w:val="24"/>
          <w:szCs w:val="24"/>
        </w:rPr>
        <w:t>Булдырского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856D45"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сельского поселения </w:t>
            </w:r>
            <w:r w:rsidR="00856D45"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lastRenderedPageBreak/>
              <w:t>муниципально</w:t>
            </w:r>
            <w:r w:rsidR="00856D45" w:rsidRPr="00E14C57">
              <w:rPr>
                <w:rFonts w:ascii="Times New Roman" w:hAnsi="Times New Roman" w:cs="Times New Roman"/>
                <w:sz w:val="24"/>
                <w:szCs w:val="24"/>
              </w:rPr>
              <w:t>го района Республики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lastRenderedPageBreak/>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требовании,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№2 </w:t>
      </w:r>
      <w:r w:rsidR="00856D45"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B047DF">
        <w:rPr>
          <w:rFonts w:ascii="Times New Roman" w:hAnsi="Times New Roman" w:cs="Times New Roman"/>
          <w:bCs/>
          <w:sz w:val="24"/>
          <w:szCs w:val="24"/>
        </w:rPr>
        <w:t>Булдырского</w:t>
      </w:r>
      <w:r w:rsidR="00B047DF"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сумма административных штрафов, наложенных по результатам контрольных </w:t>
      </w:r>
      <w:r w:rsidRPr="00E14C57">
        <w:rPr>
          <w:rFonts w:ascii="Times New Roman" w:hAnsi="Times New Roman" w:cs="Times New Roman"/>
          <w:sz w:val="24"/>
          <w:szCs w:val="24"/>
        </w:rPr>
        <w:lastRenderedPageBreak/>
        <w:t>(надзорных)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00C" w:rsidRDefault="00CE000C">
      <w:pPr>
        <w:spacing w:after="0" w:line="240" w:lineRule="auto"/>
      </w:pPr>
      <w:r>
        <w:separator/>
      </w:r>
    </w:p>
  </w:endnote>
  <w:endnote w:type="continuationSeparator" w:id="0">
    <w:p w:rsidR="00CE000C" w:rsidRDefault="00CE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00C" w:rsidRDefault="00CE000C">
      <w:pPr>
        <w:spacing w:after="0" w:line="240" w:lineRule="auto"/>
      </w:pPr>
      <w:r>
        <w:separator/>
      </w:r>
    </w:p>
  </w:footnote>
  <w:footnote w:type="continuationSeparator" w:id="0">
    <w:p w:rsidR="00CE000C" w:rsidRDefault="00CE00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8516AB"/>
    <w:rsid w:val="00856D45"/>
    <w:rsid w:val="008A3850"/>
    <w:rsid w:val="008B581D"/>
    <w:rsid w:val="00B047DF"/>
    <w:rsid w:val="00B56EB2"/>
    <w:rsid w:val="00B73FDF"/>
    <w:rsid w:val="00BA0146"/>
    <w:rsid w:val="00CE000C"/>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65B89"/>
  <w14:defaultImageDpi w14:val="0"/>
  <w15:docId w15:val="{5F83D6B7-23FD-46F6-924B-C5637C87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047DF"/>
    <w:pPr>
      <w:keepNext/>
      <w:spacing w:after="0" w:line="240" w:lineRule="auto"/>
      <w:jc w:val="center"/>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character" w:customStyle="1" w:styleId="10">
    <w:name w:val="Заголовок 1 Знак"/>
    <w:basedOn w:val="a0"/>
    <w:link w:val="1"/>
    <w:rsid w:val="00B047DF"/>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stopol.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5766</Words>
  <Characters>32870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 </vt:lpstr>
    </vt:vector>
  </TitlesOfParts>
  <Company/>
  <LinksUpToDate>false</LinksUpToDate>
  <CharactersWithSpaces>38559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ИРИНА</cp:lastModifiedBy>
  <cp:revision>4</cp:revision>
  <dcterms:created xsi:type="dcterms:W3CDTF">2022-04-21T06:53:00Z</dcterms:created>
  <dcterms:modified xsi:type="dcterms:W3CDTF">2022-04-21T10:14:00Z</dcterms:modified>
</cp:coreProperties>
</file>