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4F1FCD" w:rsidP="009D032D">
      <w:pPr>
        <w:pStyle w:val="a6"/>
        <w:jc w:val="center"/>
        <w:rPr>
          <w:rFonts w:ascii="Times New Roman" w:hAnsi="Times New Roman"/>
          <w:sz w:val="28"/>
          <w:szCs w:val="28"/>
        </w:rPr>
      </w:pPr>
      <w:r>
        <w:rPr>
          <w:rFonts w:ascii="Times New Roman" w:hAnsi="Times New Roman"/>
          <w:sz w:val="28"/>
          <w:szCs w:val="28"/>
        </w:rPr>
        <w:t>Совхозно-</w:t>
      </w:r>
      <w:proofErr w:type="spellStart"/>
      <w:r>
        <w:rPr>
          <w:rFonts w:ascii="Times New Roman" w:hAnsi="Times New Roman"/>
          <w:sz w:val="28"/>
          <w:szCs w:val="28"/>
        </w:rPr>
        <w:t>Галактионовского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w:t>
      </w:r>
      <w:r w:rsidR="004F1FCD">
        <w:rPr>
          <w:rFonts w:eastAsia="Calibri"/>
          <w:sz w:val="28"/>
          <w:szCs w:val="28"/>
          <w:lang w:eastAsia="en-US"/>
        </w:rPr>
        <w:t>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w:t>
      </w:r>
      <w:r w:rsidR="004F1FCD">
        <w:rPr>
          <w:rFonts w:eastAsia="Calibri"/>
          <w:sz w:val="28"/>
          <w:szCs w:val="28"/>
          <w:lang w:eastAsia="en-US"/>
        </w:rPr>
        <w:t>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w:t>
      </w:r>
      <w:r w:rsidR="004F1FCD">
        <w:rPr>
          <w:sz w:val="28"/>
          <w:szCs w:val="28"/>
        </w:rPr>
        <w:t>м образовании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w:t>
      </w:r>
      <w:r w:rsidR="004F1FCD">
        <w:rPr>
          <w:sz w:val="28"/>
          <w:szCs w:val="28"/>
        </w:rPr>
        <w:t>бразовании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sidR="004F1FCD">
        <w:rPr>
          <w:rFonts w:eastAsia="Calibri"/>
          <w:sz w:val="28"/>
          <w:szCs w:val="28"/>
          <w:lang w:eastAsia="en-US"/>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w:t>
      </w:r>
      <w:r w:rsidR="004F1FCD">
        <w:rPr>
          <w:sz w:val="28"/>
          <w:szCs w:val="28"/>
        </w:rPr>
        <w:t>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sidR="004F1FCD">
        <w:rPr>
          <w:rFonts w:eastAsia="Calibri"/>
          <w:sz w:val="28"/>
          <w:szCs w:val="28"/>
          <w:lang w:eastAsia="en-US"/>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lastRenderedPageBreak/>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w:t>
      </w:r>
      <w:r w:rsidR="004F1FCD">
        <w:rPr>
          <w:sz w:val="28"/>
          <w:szCs w:val="28"/>
        </w:rPr>
        <w:t>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4F1FCD">
        <w:rPr>
          <w:sz w:val="28"/>
          <w:szCs w:val="28"/>
        </w:rPr>
        <w:t>образовании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4F1FCD">
        <w:rPr>
          <w:rFonts w:eastAsia="Calibri"/>
          <w:sz w:val="28"/>
          <w:szCs w:val="28"/>
          <w:lang w:eastAsia="en-US"/>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4F1FCD">
        <w:rPr>
          <w:sz w:val="28"/>
          <w:szCs w:val="28"/>
        </w:rPr>
        <w:t>м образовании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9D1DA4">
        <w:rPr>
          <w:rFonts w:eastAsia="Calibri"/>
          <w:sz w:val="28"/>
          <w:szCs w:val="28"/>
        </w:rPr>
        <w:t xml:space="preserve">74/1 </w:t>
      </w:r>
      <w:bookmarkStart w:id="0" w:name="_GoBack"/>
      <w:bookmarkEnd w:id="0"/>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 xml:space="preserve">Глава </w:t>
      </w:r>
      <w:r w:rsidR="004F1FCD">
        <w:rPr>
          <w:rFonts w:eastAsia="Calibri"/>
          <w:sz w:val="28"/>
          <w:szCs w:val="28"/>
        </w:rPr>
        <w:t xml:space="preserve">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4F1FCD">
        <w:rPr>
          <w:rFonts w:eastAsia="Calibri"/>
          <w:sz w:val="28"/>
          <w:szCs w:val="28"/>
          <w:lang w:eastAsia="en-US"/>
        </w:rPr>
        <w:t xml:space="preserve"> </w:t>
      </w:r>
      <w:r w:rsidR="009D032D">
        <w:rPr>
          <w:rFonts w:eastAsia="Calibri"/>
          <w:sz w:val="28"/>
          <w:szCs w:val="28"/>
        </w:rPr>
        <w:t xml:space="preserve">сельского поселения                       </w:t>
      </w:r>
      <w:proofErr w:type="spellStart"/>
      <w:r w:rsidR="004F1FCD">
        <w:rPr>
          <w:rFonts w:eastAsia="Calibri"/>
          <w:sz w:val="28"/>
          <w:szCs w:val="28"/>
        </w:rPr>
        <w:t>В.Л.Донеев</w:t>
      </w:r>
      <w:proofErr w:type="spellEnd"/>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4F1FCD" w:rsidRDefault="00B64BF1" w:rsidP="00B64BF1">
      <w:pPr>
        <w:autoSpaceDE w:val="0"/>
        <w:autoSpaceDN w:val="0"/>
        <w:adjustRightInd w:val="0"/>
        <w:jc w:val="right"/>
        <w:rPr>
          <w:rFonts w:eastAsia="Calibri"/>
          <w:sz w:val="20"/>
          <w:szCs w:val="20"/>
          <w:lang w:eastAsia="en-US"/>
        </w:rPr>
      </w:pPr>
      <w:r w:rsidRPr="004F1FCD">
        <w:rPr>
          <w:rFonts w:eastAsia="Calibri"/>
          <w:sz w:val="20"/>
          <w:szCs w:val="20"/>
          <w:lang w:eastAsia="en-US"/>
        </w:rPr>
        <w:t>Совета</w:t>
      </w:r>
      <w:r w:rsidR="005A1BFC" w:rsidRPr="004F1FCD">
        <w:rPr>
          <w:rFonts w:eastAsia="Calibri"/>
          <w:sz w:val="20"/>
          <w:szCs w:val="20"/>
          <w:lang w:eastAsia="en-US"/>
        </w:rPr>
        <w:t xml:space="preserve"> </w:t>
      </w:r>
      <w:r w:rsidR="004F1FCD" w:rsidRPr="004F1FCD">
        <w:rPr>
          <w:rFonts w:eastAsia="Calibri"/>
          <w:sz w:val="20"/>
          <w:szCs w:val="20"/>
          <w:lang w:eastAsia="en-US"/>
        </w:rPr>
        <w:t>Совхозно-</w:t>
      </w:r>
      <w:proofErr w:type="spellStart"/>
      <w:r w:rsidR="004F1FCD" w:rsidRPr="004F1FCD">
        <w:rPr>
          <w:rFonts w:eastAsia="Calibri"/>
          <w:sz w:val="20"/>
          <w:szCs w:val="20"/>
          <w:lang w:eastAsia="en-US"/>
        </w:rPr>
        <w:t>Галактионовско</w:t>
      </w:r>
      <w:r w:rsidR="004F1FCD" w:rsidRPr="004F1FCD">
        <w:rPr>
          <w:rFonts w:eastAsia="Calibri"/>
          <w:sz w:val="20"/>
          <w:szCs w:val="20"/>
          <w:lang w:eastAsia="en-US"/>
        </w:rPr>
        <w:t>го</w:t>
      </w:r>
      <w:proofErr w:type="spellEnd"/>
      <w:r w:rsidR="005A1BFC" w:rsidRPr="004F1FCD">
        <w:rPr>
          <w:rFonts w:eastAsia="Calibri"/>
          <w:sz w:val="20"/>
          <w:szCs w:val="20"/>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4F1FCD">
        <w:rPr>
          <w:rFonts w:eastAsia="Calibri"/>
          <w:sz w:val="28"/>
          <w:szCs w:val="28"/>
          <w:lang w:eastAsia="en-US"/>
        </w:rPr>
        <w:t>Совхозно-</w:t>
      </w:r>
      <w:proofErr w:type="spellStart"/>
      <w:r w:rsidR="004F1FCD">
        <w:rPr>
          <w:rFonts w:eastAsia="Calibri"/>
          <w:sz w:val="28"/>
          <w:szCs w:val="28"/>
          <w:lang w:eastAsia="en-US"/>
        </w:rPr>
        <w:t>Галактионовского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w:t>
      </w:r>
      <w:r w:rsidRPr="004E5D2A">
        <w:rPr>
          <w:rFonts w:eastAsia="Calibri"/>
          <w:sz w:val="28"/>
          <w:szCs w:val="28"/>
          <w:lang w:eastAsia="en-US"/>
        </w:rPr>
        <w:lastRenderedPageBreak/>
        <w:t xml:space="preserve">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lastRenderedPageBreak/>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Бюджетные и автономные учреждения распоряжаются денежными средствами на соответствующих казначейских счетах для осуществления и </w:t>
      </w:r>
      <w:r w:rsidRPr="009E0E5F">
        <w:rPr>
          <w:rFonts w:eastAsia="Arial Unicode MS"/>
          <w:sz w:val="28"/>
          <w:szCs w:val="28"/>
          <w:shd w:val="clear" w:color="auto" w:fill="FFFFFF"/>
        </w:rPr>
        <w:lastRenderedPageBreak/>
        <w:t>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средства, получаемые (полученные) участниками казначейского сопровождения, в случаях, установленных федеральными законами, решениями </w:t>
      </w:r>
      <w:r w:rsidRPr="009E0E5F">
        <w:rPr>
          <w:rFonts w:eastAsia="Arial Unicode MS"/>
          <w:sz w:val="28"/>
          <w:szCs w:val="28"/>
        </w:rPr>
        <w:lastRenderedPageBreak/>
        <w:t>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lastRenderedPageBreak/>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EA411D" w:rsidRPr="004E5D2A" w:rsidRDefault="00EA411D"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Муниципальное задание на оказание муниципальных услуг (выполнение работ) муниципальными учреждениями формируется в соответствии с перечнем </w:t>
      </w:r>
      <w:r w:rsidRPr="004E5D2A">
        <w:rPr>
          <w:rFonts w:eastAsia="Calibri"/>
          <w:sz w:val="28"/>
          <w:szCs w:val="28"/>
          <w:lang w:eastAsia="en-US"/>
        </w:rPr>
        <w:lastRenderedPageBreak/>
        <w:t>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 xml:space="preserve">Федеральным законом "О </w:t>
        </w:r>
        <w:r w:rsidRPr="00B22A90">
          <w:rPr>
            <w:rStyle w:val="a7"/>
            <w:color w:val="auto"/>
            <w:sz w:val="28"/>
            <w:szCs w:val="28"/>
            <w:u w:val="none"/>
          </w:rPr>
          <w:lastRenderedPageBreak/>
          <w:t>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11. К бюджетным ассигнованиям на социальное обеспечение населения относятся бюджетные ассигнования на предоставление социальных выплат </w:t>
      </w:r>
      <w:r w:rsidRPr="004E5D2A">
        <w:rPr>
          <w:rFonts w:eastAsia="Calibri"/>
          <w:color w:val="000000"/>
          <w:sz w:val="28"/>
          <w:szCs w:val="28"/>
          <w:lang w:eastAsia="en-US"/>
        </w:rPr>
        <w:lastRenderedPageBreak/>
        <w:t>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w:t>
      </w:r>
      <w:r w:rsidRPr="004E5D2A">
        <w:rPr>
          <w:rFonts w:eastAsia="Calibri"/>
          <w:sz w:val="28"/>
          <w:szCs w:val="28"/>
          <w:lang w:eastAsia="en-US"/>
        </w:rPr>
        <w:lastRenderedPageBreak/>
        <w:t>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w:t>
      </w:r>
      <w:r w:rsidRPr="004E5D2A">
        <w:rPr>
          <w:rFonts w:eastAsia="Calibri"/>
          <w:sz w:val="28"/>
          <w:szCs w:val="28"/>
          <w:lang w:eastAsia="zh-CN"/>
        </w:rPr>
        <w:lastRenderedPageBreak/>
        <w:t>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lastRenderedPageBreak/>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w:t>
      </w:r>
      <w:r w:rsidRPr="00BD3DEB">
        <w:rPr>
          <w:rFonts w:eastAsia="Calibri"/>
          <w:sz w:val="28"/>
          <w:szCs w:val="28"/>
          <w:lang w:eastAsia="zh-CN"/>
        </w:rPr>
        <w:lastRenderedPageBreak/>
        <w:t>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lastRenderedPageBreak/>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w:t>
      </w:r>
      <w:r w:rsidRPr="004E5D2A">
        <w:rPr>
          <w:rFonts w:eastAsia="Calibri"/>
          <w:sz w:val="28"/>
          <w:szCs w:val="28"/>
          <w:lang w:eastAsia="zh-CN"/>
        </w:rPr>
        <w:lastRenderedPageBreak/>
        <w:t>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lastRenderedPageBreak/>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lastRenderedPageBreak/>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w:t>
      </w:r>
      <w:r w:rsidRPr="004E5D2A">
        <w:rPr>
          <w:rFonts w:eastAsia="Calibri"/>
          <w:sz w:val="28"/>
          <w:szCs w:val="28"/>
          <w:lang w:eastAsia="zh-CN"/>
        </w:rPr>
        <w:lastRenderedPageBreak/>
        <w:t>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12) основания уменьшения суммы гарантии при исполнении в полном объеме или в какой-либо части гарантии, исполнении (прекращении по иным </w:t>
      </w:r>
      <w:r w:rsidRPr="004E5D2A">
        <w:rPr>
          <w:rFonts w:eastAsia="Calibri"/>
          <w:sz w:val="28"/>
          <w:szCs w:val="28"/>
          <w:lang w:eastAsia="zh-CN"/>
        </w:rPr>
        <w:lastRenderedPageBreak/>
        <w:t>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принципала по иным основаниям (вне зависимости от наличия </w:t>
      </w:r>
      <w:r w:rsidRPr="004E5D2A">
        <w:rPr>
          <w:rFonts w:eastAsia="Calibri"/>
          <w:sz w:val="28"/>
          <w:szCs w:val="28"/>
          <w:lang w:eastAsia="zh-CN"/>
        </w:rPr>
        <w:lastRenderedPageBreak/>
        <w:t>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w:t>
      </w:r>
      <w:r w:rsidRPr="004E5D2A">
        <w:rPr>
          <w:rFonts w:eastAsia="Calibri"/>
          <w:sz w:val="28"/>
          <w:szCs w:val="28"/>
          <w:lang w:eastAsia="zh-CN"/>
        </w:rPr>
        <w:lastRenderedPageBreak/>
        <w:t>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w:t>
      </w:r>
      <w:r w:rsidRPr="009E0E5F">
        <w:rPr>
          <w:rFonts w:eastAsia="Arial Unicode MS"/>
          <w:sz w:val="28"/>
          <w:szCs w:val="28"/>
        </w:rPr>
        <w:lastRenderedPageBreak/>
        <w:t>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w:t>
      </w:r>
      <w:r w:rsidRPr="004E5D2A">
        <w:rPr>
          <w:rFonts w:eastAsia="Calibri"/>
          <w:sz w:val="28"/>
          <w:szCs w:val="28"/>
          <w:lang w:eastAsia="en-US"/>
        </w:rPr>
        <w:lastRenderedPageBreak/>
        <w:t>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w:t>
      </w:r>
      <w:r w:rsidR="00A75578">
        <w:rPr>
          <w:rFonts w:eastAsia="Calibri"/>
          <w:sz w:val="28"/>
          <w:szCs w:val="28"/>
          <w:lang w:eastAsia="en-US"/>
        </w:rPr>
        <w:lastRenderedPageBreak/>
        <w:t>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4E5D2A">
        <w:rPr>
          <w:rFonts w:eastAsia="Calibri"/>
          <w:sz w:val="28"/>
          <w:szCs w:val="28"/>
          <w:lang w:eastAsia="en-US"/>
        </w:rPr>
        <w:lastRenderedPageBreak/>
        <w:t>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lastRenderedPageBreak/>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lastRenderedPageBreak/>
        <w:t xml:space="preserve">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w:t>
      </w:r>
      <w:r w:rsidRPr="00877DD0">
        <w:rPr>
          <w:sz w:val="28"/>
          <w:szCs w:val="28"/>
        </w:rPr>
        <w:lastRenderedPageBreak/>
        <w:t xml:space="preserve">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w:t>
      </w:r>
      <w:r w:rsidRPr="009E0E5F">
        <w:rPr>
          <w:rFonts w:ascii="Times New Roman" w:eastAsia="Arial Unicode MS" w:hAnsi="Times New Roman"/>
          <w:sz w:val="28"/>
          <w:szCs w:val="28"/>
        </w:rPr>
        <w:lastRenderedPageBreak/>
        <w:t>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w:t>
      </w:r>
      <w:r w:rsidRPr="004E5D2A">
        <w:rPr>
          <w:rFonts w:eastAsia="Calibri"/>
          <w:sz w:val="28"/>
          <w:szCs w:val="28"/>
          <w:lang w:eastAsia="en-US"/>
        </w:rPr>
        <w:lastRenderedPageBreak/>
        <w:t xml:space="preserve">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4F1FCD"/>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1DA4"/>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A411D"/>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B4C8-B95A-410E-A754-2FBE9B14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59</Pages>
  <Words>24887</Words>
  <Characters>141862</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166417</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galak</cp:lastModifiedBy>
  <cp:revision>9</cp:revision>
  <cp:lastPrinted>2021-10-18T10:34:00Z</cp:lastPrinted>
  <dcterms:created xsi:type="dcterms:W3CDTF">2021-10-18T10:22:00Z</dcterms:created>
  <dcterms:modified xsi:type="dcterms:W3CDTF">2021-10-20T05:05:00Z</dcterms:modified>
</cp:coreProperties>
</file>