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Совет</w:t>
      </w:r>
    </w:p>
    <w:p w:rsidR="001C5BA6" w:rsidRPr="001C5BA6" w:rsidRDefault="001819E4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Чувашско-Елтанского</w:t>
      </w:r>
      <w:proofErr w:type="spellEnd"/>
      <w:r>
        <w:rPr>
          <w:rFonts w:ascii="Arial" w:hAnsi="Arial" w:cs="Arial"/>
        </w:rPr>
        <w:t xml:space="preserve"> </w:t>
      </w:r>
      <w:r w:rsidR="001C5BA6" w:rsidRPr="001C5BA6">
        <w:rPr>
          <w:rFonts w:ascii="Arial" w:hAnsi="Arial" w:cs="Arial"/>
        </w:rPr>
        <w:t>сельского поселения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Чистопольского муниципального района Республики Татарстан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        Решение                                                                                                            </w:t>
      </w:r>
      <w:proofErr w:type="spellStart"/>
      <w:r w:rsidRPr="001C5BA6">
        <w:rPr>
          <w:rFonts w:ascii="Arial" w:hAnsi="Arial" w:cs="Arial"/>
        </w:rPr>
        <w:t>Карар</w:t>
      </w:r>
      <w:proofErr w:type="spellEnd"/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keepNext/>
        <w:outlineLvl w:val="0"/>
        <w:rPr>
          <w:rFonts w:ascii="Arial" w:hAnsi="Arial" w:cs="Arial"/>
          <w:bCs/>
          <w:lang w:val="x-none" w:eastAsia="x-none"/>
        </w:rPr>
      </w:pPr>
      <w:r w:rsidRPr="001C5BA6">
        <w:rPr>
          <w:rFonts w:ascii="Arial" w:hAnsi="Arial" w:cs="Arial"/>
          <w:bCs/>
          <w:lang w:eastAsia="x-none"/>
        </w:rPr>
        <w:t xml:space="preserve">   </w:t>
      </w:r>
      <w:r w:rsidRPr="001C5BA6">
        <w:rPr>
          <w:rFonts w:ascii="Arial" w:hAnsi="Arial" w:cs="Arial"/>
          <w:bCs/>
          <w:lang w:val="x-none" w:eastAsia="x-none"/>
        </w:rPr>
        <w:t xml:space="preserve">от </w:t>
      </w:r>
      <w:r w:rsidR="002E44E7">
        <w:rPr>
          <w:rFonts w:ascii="Arial" w:hAnsi="Arial" w:cs="Arial"/>
          <w:bCs/>
          <w:lang w:eastAsia="x-none"/>
        </w:rPr>
        <w:t>______</w:t>
      </w:r>
      <w:r w:rsidRPr="001C5BA6">
        <w:rPr>
          <w:rFonts w:ascii="Arial" w:hAnsi="Arial" w:cs="Arial"/>
          <w:bCs/>
          <w:lang w:val="x-none" w:eastAsia="x-none"/>
        </w:rPr>
        <w:t>20</w:t>
      </w:r>
      <w:r w:rsidRPr="001C5BA6">
        <w:rPr>
          <w:rFonts w:ascii="Arial" w:hAnsi="Arial" w:cs="Arial"/>
          <w:bCs/>
          <w:lang w:eastAsia="x-none"/>
        </w:rPr>
        <w:t>2</w:t>
      </w:r>
      <w:r w:rsidR="00156034">
        <w:rPr>
          <w:rFonts w:ascii="Arial" w:hAnsi="Arial" w:cs="Arial"/>
          <w:bCs/>
          <w:lang w:eastAsia="x-none"/>
        </w:rPr>
        <w:t>1</w:t>
      </w:r>
      <w:r w:rsidRPr="001C5BA6">
        <w:rPr>
          <w:rFonts w:ascii="Arial" w:hAnsi="Arial" w:cs="Arial"/>
          <w:bCs/>
          <w:lang w:val="x-none" w:eastAsia="x-none"/>
        </w:rPr>
        <w:t>г.                                                                                                        №</w:t>
      </w:r>
      <w:r w:rsidR="002E44E7">
        <w:rPr>
          <w:rFonts w:ascii="Arial" w:hAnsi="Arial" w:cs="Arial"/>
          <w:bCs/>
          <w:lang w:eastAsia="x-none"/>
        </w:rPr>
        <w:t>___</w:t>
      </w:r>
    </w:p>
    <w:p w:rsidR="009B7338" w:rsidRDefault="009654F3" w:rsidP="001C5BA6">
      <w:pPr>
        <w:rPr>
          <w:b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</w:t>
      </w:r>
    </w:p>
    <w:p w:rsidR="00484703" w:rsidRPr="001C5BA6" w:rsidRDefault="009654F3" w:rsidP="001C5BA6">
      <w:pPr>
        <w:rPr>
          <w:b/>
          <w:i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                                             </w:t>
      </w:r>
    </w:p>
    <w:p w:rsidR="001443EA" w:rsidRPr="001C5BA6" w:rsidRDefault="009B7338" w:rsidP="001443EA">
      <w:pPr>
        <w:ind w:right="467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 xml:space="preserve"> внесении изменений в Правила земл</w:t>
      </w:r>
      <w:r w:rsidRPr="009B7338">
        <w:rPr>
          <w:rFonts w:ascii="Arial" w:hAnsi="Arial" w:cs="Arial"/>
        </w:rPr>
        <w:t>е</w:t>
      </w:r>
      <w:r w:rsidRPr="009B7338">
        <w:rPr>
          <w:rFonts w:ascii="Arial" w:hAnsi="Arial" w:cs="Arial"/>
        </w:rPr>
        <w:t xml:space="preserve">пользования и застройки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  <w:r w:rsidR="001819E4">
        <w:rPr>
          <w:rFonts w:ascii="Arial" w:hAnsi="Arial" w:cs="Arial"/>
        </w:rPr>
        <w:t xml:space="preserve"> </w:t>
      </w:r>
      <w:r w:rsidRPr="009B7338">
        <w:rPr>
          <w:rFonts w:ascii="Arial" w:hAnsi="Arial" w:cs="Arial"/>
        </w:rPr>
        <w:t xml:space="preserve">сельского поселения </w:t>
      </w:r>
      <w:proofErr w:type="spellStart"/>
      <w:r w:rsidRPr="009B7338">
        <w:rPr>
          <w:rFonts w:ascii="Arial" w:hAnsi="Arial" w:cs="Arial"/>
        </w:rPr>
        <w:t>Чист</w:t>
      </w:r>
      <w:r w:rsidRPr="009B7338"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>польского</w:t>
      </w:r>
      <w:proofErr w:type="spellEnd"/>
      <w:r w:rsidRPr="009B7338">
        <w:rPr>
          <w:rFonts w:ascii="Arial" w:hAnsi="Arial" w:cs="Arial"/>
        </w:rPr>
        <w:t xml:space="preserve"> муниципального района Респу</w:t>
      </w:r>
      <w:r w:rsidRPr="009B7338">
        <w:rPr>
          <w:rFonts w:ascii="Arial" w:hAnsi="Arial" w:cs="Arial"/>
        </w:rPr>
        <w:t>б</w:t>
      </w:r>
      <w:r w:rsidRPr="009B7338">
        <w:rPr>
          <w:rFonts w:ascii="Arial" w:hAnsi="Arial" w:cs="Arial"/>
        </w:rPr>
        <w:t>лики Татарстан</w:t>
      </w:r>
    </w:p>
    <w:p w:rsidR="00776B53" w:rsidRDefault="00776B53" w:rsidP="001443EA">
      <w:pPr>
        <w:ind w:right="4677"/>
        <w:rPr>
          <w:rFonts w:ascii="Arial" w:hAnsi="Arial" w:cs="Arial"/>
        </w:rPr>
      </w:pPr>
    </w:p>
    <w:p w:rsidR="009B7338" w:rsidRPr="001C5BA6" w:rsidRDefault="009B7338" w:rsidP="001443EA">
      <w:pPr>
        <w:ind w:right="4677"/>
        <w:rPr>
          <w:rFonts w:ascii="Arial" w:hAnsi="Arial" w:cs="Arial"/>
        </w:rPr>
      </w:pPr>
    </w:p>
    <w:p w:rsidR="00F85368" w:rsidRDefault="00964421" w:rsidP="009B7338">
      <w:pPr>
        <w:ind w:firstLine="567"/>
        <w:jc w:val="both"/>
        <w:rPr>
          <w:rFonts w:ascii="Arial" w:hAnsi="Arial" w:cs="Arial"/>
        </w:rPr>
      </w:pPr>
      <w:r w:rsidRPr="009B7338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>В соответствии со статьей 33 Градостроительного кодекса Российской Фед</w:t>
      </w:r>
      <w:r w:rsidR="009B7338" w:rsidRPr="009B7338">
        <w:rPr>
          <w:rFonts w:ascii="Arial" w:hAnsi="Arial" w:cs="Arial"/>
        </w:rPr>
        <w:t>е</w:t>
      </w:r>
      <w:r w:rsidR="009B7338" w:rsidRPr="009B7338">
        <w:rPr>
          <w:rFonts w:ascii="Arial" w:hAnsi="Arial" w:cs="Arial"/>
        </w:rPr>
        <w:t>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1819E4">
        <w:rPr>
          <w:rFonts w:ascii="Arial" w:hAnsi="Arial" w:cs="Arial"/>
        </w:rPr>
        <w:t>Чувашско-Елтанское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Совет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  <w:r w:rsidR="001819E4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Республики Т</w:t>
      </w:r>
      <w:r w:rsidR="009B7338" w:rsidRPr="009B7338">
        <w:rPr>
          <w:rFonts w:ascii="Arial" w:hAnsi="Arial" w:cs="Arial"/>
        </w:rPr>
        <w:t>а</w:t>
      </w:r>
      <w:r w:rsidR="009B7338" w:rsidRPr="009B7338">
        <w:rPr>
          <w:rFonts w:ascii="Arial" w:hAnsi="Arial" w:cs="Arial"/>
        </w:rPr>
        <w:t>тарстан</w:t>
      </w:r>
    </w:p>
    <w:p w:rsidR="009B7338" w:rsidRPr="009B7338" w:rsidRDefault="009B7338" w:rsidP="009B7338">
      <w:pPr>
        <w:ind w:firstLine="567"/>
        <w:jc w:val="both"/>
        <w:rPr>
          <w:rFonts w:ascii="Arial" w:hAnsi="Arial" w:cs="Arial"/>
        </w:rPr>
      </w:pPr>
    </w:p>
    <w:p w:rsidR="00137024" w:rsidRDefault="00F85368" w:rsidP="009B7338">
      <w:pPr>
        <w:pStyle w:val="ConsPlusNormal"/>
        <w:ind w:firstLine="540"/>
        <w:jc w:val="center"/>
        <w:rPr>
          <w:sz w:val="24"/>
          <w:szCs w:val="24"/>
        </w:rPr>
      </w:pPr>
      <w:r w:rsidRPr="009B7338">
        <w:rPr>
          <w:sz w:val="24"/>
          <w:szCs w:val="24"/>
        </w:rPr>
        <w:t>РЕШАЕТ:</w:t>
      </w:r>
    </w:p>
    <w:p w:rsidR="009B7338" w:rsidRPr="009B7338" w:rsidRDefault="009B7338" w:rsidP="009B7338">
      <w:pPr>
        <w:pStyle w:val="ConsPlusNormal"/>
        <w:ind w:firstLine="540"/>
        <w:jc w:val="center"/>
        <w:rPr>
          <w:sz w:val="24"/>
          <w:szCs w:val="24"/>
        </w:rPr>
      </w:pPr>
    </w:p>
    <w:p w:rsidR="002E44E7" w:rsidRDefault="00137024" w:rsidP="002E44E7">
      <w:pPr>
        <w:ind w:right="-1"/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="009B7338" w:rsidRPr="009B7338">
        <w:rPr>
          <w:rFonts w:ascii="Arial" w:hAnsi="Arial" w:cs="Arial"/>
        </w:rPr>
        <w:t xml:space="preserve">1. </w:t>
      </w:r>
      <w:r w:rsidR="002E44E7">
        <w:rPr>
          <w:rFonts w:ascii="Arial" w:hAnsi="Arial" w:cs="Arial"/>
        </w:rPr>
        <w:t xml:space="preserve">Решение </w:t>
      </w:r>
      <w:r w:rsidR="002E44E7" w:rsidRPr="009B7338">
        <w:rPr>
          <w:rFonts w:ascii="Arial" w:hAnsi="Arial" w:cs="Arial"/>
        </w:rPr>
        <w:t>Совет</w:t>
      </w:r>
      <w:r w:rsidR="002E44E7">
        <w:rPr>
          <w:rFonts w:ascii="Arial" w:hAnsi="Arial" w:cs="Arial"/>
        </w:rPr>
        <w:t>а</w:t>
      </w:r>
      <w:r w:rsidR="002E44E7" w:rsidRPr="009B7338">
        <w:rPr>
          <w:rFonts w:ascii="Arial" w:hAnsi="Arial" w:cs="Arial"/>
        </w:rPr>
        <w:t xml:space="preserve">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  <w:r w:rsidR="001819E4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 xml:space="preserve"> от 12.05.2021 №</w:t>
      </w:r>
      <w:r w:rsidR="001819E4">
        <w:rPr>
          <w:rFonts w:ascii="Arial" w:hAnsi="Arial" w:cs="Arial"/>
        </w:rPr>
        <w:t xml:space="preserve"> 10/2</w:t>
      </w:r>
      <w:r w:rsidR="002E44E7">
        <w:rPr>
          <w:rFonts w:ascii="Arial" w:hAnsi="Arial" w:cs="Arial"/>
        </w:rPr>
        <w:t xml:space="preserve"> «О</w:t>
      </w:r>
      <w:r w:rsidR="002E44E7"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  <w:r w:rsidR="001819E4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>сельск</w:t>
      </w:r>
      <w:r w:rsidR="002E44E7" w:rsidRPr="009B7338">
        <w:rPr>
          <w:rFonts w:ascii="Arial" w:hAnsi="Arial" w:cs="Arial"/>
        </w:rPr>
        <w:t>о</w:t>
      </w:r>
      <w:r w:rsidR="002E44E7" w:rsidRPr="009B7338">
        <w:rPr>
          <w:rFonts w:ascii="Arial" w:hAnsi="Arial" w:cs="Arial"/>
        </w:rPr>
        <w:t xml:space="preserve">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>» пр</w:t>
      </w:r>
      <w:r w:rsidR="002E44E7">
        <w:rPr>
          <w:rFonts w:ascii="Arial" w:hAnsi="Arial" w:cs="Arial"/>
        </w:rPr>
        <w:t>и</w:t>
      </w:r>
      <w:r w:rsidR="002E44E7">
        <w:rPr>
          <w:rFonts w:ascii="Arial" w:hAnsi="Arial" w:cs="Arial"/>
        </w:rPr>
        <w:t>знать утратившим с</w:t>
      </w:r>
      <w:r w:rsidR="002E44E7">
        <w:rPr>
          <w:rFonts w:ascii="Arial" w:hAnsi="Arial" w:cs="Arial"/>
        </w:rPr>
        <w:t>и</w:t>
      </w:r>
      <w:r w:rsidR="002E44E7">
        <w:rPr>
          <w:rFonts w:ascii="Arial" w:hAnsi="Arial" w:cs="Arial"/>
        </w:rPr>
        <w:t>лу.</w:t>
      </w:r>
    </w:p>
    <w:p w:rsidR="009B7338" w:rsidRPr="009B7338" w:rsidRDefault="002E44E7" w:rsidP="002E44E7">
      <w:pPr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9B7338" w:rsidRPr="009B7338">
        <w:rPr>
          <w:rFonts w:ascii="Arial" w:hAnsi="Arial" w:cs="Arial"/>
        </w:rPr>
        <w:t>Внести в статью 35 главы 11 части I</w:t>
      </w:r>
      <w:r w:rsidR="009B7338" w:rsidRPr="009B7338">
        <w:rPr>
          <w:rFonts w:ascii="Arial" w:hAnsi="Arial" w:cs="Arial"/>
          <w:lang w:val="en-US"/>
        </w:rPr>
        <w:t>II</w:t>
      </w:r>
      <w:r w:rsidR="009B7338" w:rsidRPr="009B7338">
        <w:rPr>
          <w:rFonts w:ascii="Arial" w:hAnsi="Arial" w:cs="Arial"/>
        </w:rPr>
        <w:t xml:space="preserve"> Правил землепользования и застройки муниципального образования «</w:t>
      </w:r>
      <w:proofErr w:type="spellStart"/>
      <w:r w:rsidR="001819E4">
        <w:rPr>
          <w:rFonts w:ascii="Arial" w:hAnsi="Arial" w:cs="Arial"/>
        </w:rPr>
        <w:t>Чувашско-Елтанское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</w:t>
      </w:r>
      <w:r w:rsidR="009B7338" w:rsidRPr="009B7338">
        <w:rPr>
          <w:rFonts w:ascii="Arial" w:hAnsi="Arial" w:cs="Arial"/>
        </w:rPr>
        <w:t>о</w:t>
      </w:r>
      <w:r w:rsidR="009B7338" w:rsidRPr="009B7338">
        <w:rPr>
          <w:rFonts w:ascii="Arial" w:hAnsi="Arial" w:cs="Arial"/>
        </w:rPr>
        <w:t xml:space="preserve">польского муниципального района, утвержденные решением Совета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  <w:r w:rsidR="001819E4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от 07.07.2014 г. № 52/1</w:t>
      </w:r>
      <w:r>
        <w:rPr>
          <w:rFonts w:ascii="Arial" w:hAnsi="Arial" w:cs="Arial"/>
        </w:rPr>
        <w:t>,</w:t>
      </w:r>
      <w:r w:rsidR="009B7338" w:rsidRPr="009B7338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дополнив </w:t>
      </w:r>
      <w:r w:rsidR="009B7338" w:rsidRPr="009B7338">
        <w:rPr>
          <w:rFonts w:ascii="Arial" w:hAnsi="Arial" w:cs="Arial"/>
        </w:rPr>
        <w:t>раздел «Ж</w:t>
      </w:r>
      <w:proofErr w:type="gramStart"/>
      <w:r w:rsidR="009B7338" w:rsidRPr="009B7338">
        <w:rPr>
          <w:rFonts w:ascii="Arial" w:hAnsi="Arial" w:cs="Arial"/>
        </w:rPr>
        <w:t>1</w:t>
      </w:r>
      <w:proofErr w:type="gramEnd"/>
      <w:r w:rsidR="009B7338" w:rsidRPr="009B7338">
        <w:rPr>
          <w:rFonts w:ascii="Arial" w:hAnsi="Arial" w:cs="Arial"/>
        </w:rPr>
        <w:t xml:space="preserve">. Зона индивидуальной жилой застройки» 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зацами следующего содержания</w:t>
      </w:r>
      <w:r w:rsidR="009B7338" w:rsidRPr="009B7338">
        <w:rPr>
          <w:rFonts w:ascii="Arial" w:hAnsi="Arial" w:cs="Arial"/>
        </w:rPr>
        <w:t>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«Предельные размеры земельных участков и предельные параметры разр</w:t>
      </w:r>
      <w:r w:rsidRPr="009B7338">
        <w:rPr>
          <w:rFonts w:ascii="Arial" w:eastAsia="Calibri" w:hAnsi="Arial" w:cs="Arial"/>
          <w:lang w:eastAsia="en-US"/>
        </w:rPr>
        <w:t>е</w:t>
      </w:r>
      <w:r w:rsidRPr="009B7338">
        <w:rPr>
          <w:rFonts w:ascii="Arial" w:eastAsia="Calibri" w:hAnsi="Arial" w:cs="Arial"/>
          <w:lang w:eastAsia="en-US"/>
        </w:rPr>
        <w:t>шенного строительства, реконструкции объек</w:t>
      </w:r>
      <w:r w:rsidR="002E44E7">
        <w:rPr>
          <w:rFonts w:ascii="Arial" w:eastAsia="Calibri" w:hAnsi="Arial" w:cs="Arial"/>
          <w:lang w:eastAsia="en-US"/>
        </w:rPr>
        <w:t>тов капитального строительства.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Предельные размеры земельных участков и предельные параметры разреше</w:t>
      </w:r>
      <w:r w:rsidRPr="009B7338">
        <w:rPr>
          <w:rFonts w:ascii="Arial" w:eastAsia="Calibri" w:hAnsi="Arial" w:cs="Arial"/>
          <w:lang w:eastAsia="en-US"/>
        </w:rPr>
        <w:t>н</w:t>
      </w:r>
      <w:r w:rsidRPr="009B7338">
        <w:rPr>
          <w:rFonts w:ascii="Arial" w:eastAsia="Calibri" w:hAnsi="Arial" w:cs="Arial"/>
          <w:lang w:eastAsia="en-US"/>
        </w:rPr>
        <w:t>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Default="009B7338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19E4" w:rsidRPr="009B7338" w:rsidRDefault="001819E4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9B7338" w:rsidTr="009B7338">
        <w:tc>
          <w:tcPr>
            <w:tcW w:w="3119" w:type="dxa"/>
            <w:gridSpan w:val="2"/>
            <w:vMerge w:val="restart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9B7338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ЛПХ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Предельные параметры</w:t>
            </w: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</w:t>
            </w:r>
            <w:proofErr w:type="gram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</w:t>
            </w:r>
            <w:proofErr w:type="spellEnd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0F511B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</w:t>
            </w:r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0000</w:t>
            </w:r>
          </w:p>
        </w:tc>
      </w:tr>
      <w:tr w:rsidR="009B7338" w:rsidRPr="009B7338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</w:tr>
    </w:tbl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</w:t>
      </w:r>
      <w:r w:rsidRPr="009B7338">
        <w:rPr>
          <w:rFonts w:ascii="Arial" w:eastAsia="Calibri" w:hAnsi="Arial" w:cs="Arial"/>
          <w:lang w:eastAsia="en-US"/>
        </w:rPr>
        <w:t>е</w:t>
      </w:r>
      <w:r w:rsidRPr="009B7338">
        <w:rPr>
          <w:rFonts w:ascii="Arial" w:eastAsia="Calibri" w:hAnsi="Arial" w:cs="Arial"/>
          <w:lang w:eastAsia="en-US"/>
        </w:rPr>
        <w:t>ние.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к таблице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1. Допускается отклонение от представленных в таблице показ</w:t>
      </w:r>
      <w:r w:rsidRPr="009B7338">
        <w:rPr>
          <w:rFonts w:ascii="Arial" w:eastAsia="Calibri" w:hAnsi="Arial" w:cs="Arial"/>
          <w:lang w:eastAsia="en-US"/>
        </w:rPr>
        <w:t>а</w:t>
      </w:r>
      <w:r w:rsidRPr="009B7338">
        <w:rPr>
          <w:rFonts w:ascii="Arial" w:eastAsia="Calibri" w:hAnsi="Arial" w:cs="Arial"/>
          <w:lang w:eastAsia="en-US"/>
        </w:rPr>
        <w:t>телей предельных параметров земельного участка, фактическое использование к</w:t>
      </w:r>
      <w:r w:rsidRPr="009B7338">
        <w:rPr>
          <w:rFonts w:ascii="Arial" w:eastAsia="Calibri" w:hAnsi="Arial" w:cs="Arial"/>
          <w:lang w:eastAsia="en-US"/>
        </w:rPr>
        <w:t>о</w:t>
      </w:r>
      <w:r w:rsidRPr="009B7338">
        <w:rPr>
          <w:rFonts w:ascii="Arial" w:eastAsia="Calibri" w:hAnsi="Arial" w:cs="Arial"/>
          <w:lang w:eastAsia="en-US"/>
        </w:rPr>
        <w:t>торого сложилось до даты вступления в силу Земельного кодекса Российской Фед</w:t>
      </w:r>
      <w:r w:rsidRPr="009B7338">
        <w:rPr>
          <w:rFonts w:ascii="Arial" w:eastAsia="Calibri" w:hAnsi="Arial" w:cs="Arial"/>
          <w:lang w:eastAsia="en-US"/>
        </w:rPr>
        <w:t>е</w:t>
      </w:r>
      <w:r w:rsidRPr="009B7338">
        <w:rPr>
          <w:rFonts w:ascii="Arial" w:eastAsia="Calibri" w:hAnsi="Arial" w:cs="Arial"/>
          <w:lang w:eastAsia="en-US"/>
        </w:rPr>
        <w:t xml:space="preserve">рации и отсутствует возможность уменьшения или увеличения площади земельного участка </w:t>
      </w:r>
      <w:proofErr w:type="gramStart"/>
      <w:r w:rsidRPr="009B7338">
        <w:rPr>
          <w:rFonts w:ascii="Arial" w:eastAsia="Calibri" w:hAnsi="Arial" w:cs="Arial"/>
          <w:lang w:eastAsia="en-US"/>
        </w:rPr>
        <w:t>до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нормативной.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2. </w:t>
      </w:r>
      <w:proofErr w:type="gramStart"/>
      <w:r w:rsidRPr="009B7338">
        <w:rPr>
          <w:rFonts w:ascii="Arial" w:eastAsia="Calibri" w:hAnsi="Arial" w:cs="Arial"/>
          <w:lang w:eastAsia="en-US"/>
        </w:rPr>
        <w:t>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</w:t>
      </w:r>
      <w:r w:rsidRPr="009B7338">
        <w:rPr>
          <w:rFonts w:ascii="Arial" w:eastAsia="Calibri" w:hAnsi="Arial" w:cs="Arial"/>
          <w:lang w:eastAsia="en-US"/>
        </w:rPr>
        <w:t>б</w:t>
      </w:r>
      <w:r w:rsidRPr="009B7338">
        <w:rPr>
          <w:rFonts w:ascii="Arial" w:eastAsia="Calibri" w:hAnsi="Arial" w:cs="Arial"/>
          <w:lang w:eastAsia="en-US"/>
        </w:rPr>
        <w:t>ственность земельного участка трех и более детей, в том числе  пасынков, падч</w:t>
      </w:r>
      <w:r w:rsidRPr="009B7338">
        <w:rPr>
          <w:rFonts w:ascii="Arial" w:eastAsia="Calibri" w:hAnsi="Arial" w:cs="Arial"/>
          <w:lang w:eastAsia="en-US"/>
        </w:rPr>
        <w:t>е</w:t>
      </w:r>
      <w:r w:rsidRPr="009B7338">
        <w:rPr>
          <w:rFonts w:ascii="Arial" w:eastAsia="Calibri" w:hAnsi="Arial" w:cs="Arial"/>
          <w:lang w:eastAsia="en-US"/>
        </w:rPr>
        <w:t>риц, а также усыновленных (удочеренных) и подопечных (в отношении которых оп</w:t>
      </w:r>
      <w:r w:rsidRPr="009B7338">
        <w:rPr>
          <w:rFonts w:ascii="Arial" w:eastAsia="Calibri" w:hAnsi="Arial" w:cs="Arial"/>
          <w:lang w:eastAsia="en-US"/>
        </w:rPr>
        <w:t>е</w:t>
      </w:r>
      <w:r w:rsidRPr="009B7338">
        <w:rPr>
          <w:rFonts w:ascii="Arial" w:eastAsia="Calibri" w:hAnsi="Arial" w:cs="Arial"/>
          <w:lang w:eastAsia="en-US"/>
        </w:rPr>
        <w:t>ка и попечительство осуществляется бессрочно, либо до достижения ими соверше</w:t>
      </w:r>
      <w:r w:rsidRPr="009B7338">
        <w:rPr>
          <w:rFonts w:ascii="Arial" w:eastAsia="Calibri" w:hAnsi="Arial" w:cs="Arial"/>
          <w:lang w:eastAsia="en-US"/>
        </w:rPr>
        <w:t>н</w:t>
      </w:r>
      <w:r w:rsidRPr="009B7338">
        <w:rPr>
          <w:rFonts w:ascii="Arial" w:eastAsia="Calibri" w:hAnsi="Arial" w:cs="Arial"/>
          <w:lang w:eastAsia="en-US"/>
        </w:rPr>
        <w:t>нолетия), не достигших восемнадцатилетнего возраста, расположенные в границах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819E4">
        <w:rPr>
          <w:rFonts w:ascii="Arial" w:eastAsia="Calibri" w:hAnsi="Arial" w:cs="Arial"/>
          <w:lang w:eastAsia="en-US"/>
        </w:rPr>
        <w:t>Чувашско-Елтанского</w:t>
      </w:r>
      <w:proofErr w:type="spellEnd"/>
      <w:r w:rsidR="001819E4">
        <w:rPr>
          <w:rFonts w:ascii="Arial" w:eastAsia="Calibri" w:hAnsi="Arial" w:cs="Arial"/>
          <w:lang w:eastAsia="en-US"/>
        </w:rPr>
        <w:t xml:space="preserve"> </w:t>
      </w:r>
      <w:r w:rsidRPr="009B7338">
        <w:rPr>
          <w:rFonts w:ascii="Arial" w:eastAsia="Calibri" w:hAnsi="Arial" w:cs="Arial"/>
          <w:lang w:eastAsia="en-US"/>
        </w:rPr>
        <w:t>сельского поселения: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осуществления индивидуального жилищного строительства, для дачного строительства, садоводства или огородничества - от 700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900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;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ведения личного подсобного хозяйства (приусадебный земельный участок от 1000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1500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)».</w:t>
      </w:r>
    </w:p>
    <w:p w:rsidR="009B7338" w:rsidRDefault="009B7338" w:rsidP="009B7338">
      <w:pPr>
        <w:jc w:val="both"/>
        <w:rPr>
          <w:rFonts w:ascii="Arial" w:eastAsia="Calibri" w:hAnsi="Arial" w:cs="Arial"/>
          <w:lang w:eastAsia="en-US"/>
        </w:rPr>
      </w:pPr>
    </w:p>
    <w:p w:rsidR="005A2A31" w:rsidRPr="000853B0" w:rsidRDefault="005A2A31" w:rsidP="005A2A31">
      <w:pPr>
        <w:pStyle w:val="1"/>
        <w:jc w:val="both"/>
        <w:rPr>
          <w:b w:val="0"/>
          <w:sz w:val="24"/>
          <w:szCs w:val="24"/>
        </w:rPr>
      </w:pPr>
      <w:r w:rsidRPr="000853B0">
        <w:rPr>
          <w:b w:val="0"/>
          <w:sz w:val="24"/>
          <w:szCs w:val="24"/>
        </w:rPr>
        <w:t xml:space="preserve">2. Обнародовать настоящее </w:t>
      </w:r>
      <w:r>
        <w:rPr>
          <w:b w:val="0"/>
          <w:sz w:val="24"/>
          <w:szCs w:val="24"/>
        </w:rPr>
        <w:t xml:space="preserve">решение </w:t>
      </w:r>
      <w:r w:rsidRPr="000853B0">
        <w:rPr>
          <w:b w:val="0"/>
          <w:sz w:val="24"/>
          <w:szCs w:val="24"/>
        </w:rPr>
        <w:t>путем размещения на специальных и</w:t>
      </w:r>
      <w:r w:rsidRPr="000853B0">
        <w:rPr>
          <w:b w:val="0"/>
          <w:sz w:val="24"/>
          <w:szCs w:val="24"/>
        </w:rPr>
        <w:t>н</w:t>
      </w:r>
      <w:r w:rsidRPr="000853B0">
        <w:rPr>
          <w:b w:val="0"/>
          <w:sz w:val="24"/>
          <w:szCs w:val="24"/>
        </w:rPr>
        <w:t xml:space="preserve">формационных стендах на территории населенных пунктов сельского поселения или </w:t>
      </w:r>
      <w:r w:rsidRPr="000853B0">
        <w:rPr>
          <w:b w:val="0"/>
          <w:sz w:val="24"/>
          <w:szCs w:val="24"/>
        </w:rPr>
        <w:lastRenderedPageBreak/>
        <w:t>на официальном портале правовой информации Республики Татарстан (</w:t>
      </w:r>
      <w:proofErr w:type="spellStart"/>
      <w:r w:rsidRPr="000853B0">
        <w:rPr>
          <w:b w:val="0"/>
          <w:sz w:val="24"/>
          <w:szCs w:val="24"/>
          <w:lang w:val="en-US"/>
        </w:rPr>
        <w:t>pr</w:t>
      </w:r>
      <w:r w:rsidRPr="000853B0">
        <w:rPr>
          <w:b w:val="0"/>
          <w:sz w:val="24"/>
          <w:szCs w:val="24"/>
          <w:lang w:val="en-US"/>
        </w:rPr>
        <w:t>a</w:t>
      </w:r>
      <w:r w:rsidRPr="000853B0">
        <w:rPr>
          <w:b w:val="0"/>
          <w:sz w:val="24"/>
          <w:szCs w:val="24"/>
          <w:lang w:val="en-US"/>
        </w:rPr>
        <w:t>vo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tatarstan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ru</w:t>
      </w:r>
      <w:proofErr w:type="spellEnd"/>
      <w:r w:rsidRPr="000853B0">
        <w:rPr>
          <w:b w:val="0"/>
          <w:sz w:val="24"/>
          <w:szCs w:val="24"/>
        </w:rPr>
        <w:t>), а также разместить на официальном сайте Чистопольского муниц</w:t>
      </w:r>
      <w:r w:rsidRPr="000853B0">
        <w:rPr>
          <w:b w:val="0"/>
          <w:sz w:val="24"/>
          <w:szCs w:val="24"/>
        </w:rPr>
        <w:t>и</w:t>
      </w:r>
      <w:r w:rsidRPr="000853B0">
        <w:rPr>
          <w:b w:val="0"/>
          <w:sz w:val="24"/>
          <w:szCs w:val="24"/>
        </w:rPr>
        <w:t>пального района в информационно-коммуникационной сети «Интернет».</w:t>
      </w:r>
    </w:p>
    <w:p w:rsidR="00BE0D8F" w:rsidRPr="001C5BA6" w:rsidRDefault="00BE0D8F" w:rsidP="009B7338">
      <w:pPr>
        <w:pStyle w:val="a3"/>
        <w:ind w:firstLine="513"/>
        <w:rPr>
          <w:rFonts w:ascii="Arial" w:hAnsi="Arial" w:cs="Arial"/>
        </w:rPr>
      </w:pPr>
    </w:p>
    <w:p w:rsidR="00A52F77" w:rsidRPr="001C5BA6" w:rsidRDefault="00A52F77" w:rsidP="00A2766C">
      <w:pPr>
        <w:jc w:val="both"/>
        <w:rPr>
          <w:rFonts w:ascii="Arial" w:hAnsi="Arial" w:cs="Arial"/>
        </w:rPr>
      </w:pPr>
    </w:p>
    <w:p w:rsidR="00FB23CE" w:rsidRPr="001C5BA6" w:rsidRDefault="00EA19DC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>Г</w:t>
      </w:r>
      <w:r w:rsidR="00100EB2" w:rsidRPr="001C5BA6">
        <w:rPr>
          <w:rFonts w:ascii="Arial" w:hAnsi="Arial" w:cs="Arial"/>
        </w:rPr>
        <w:t>лав</w:t>
      </w:r>
      <w:r w:rsidRPr="001C5BA6">
        <w:rPr>
          <w:rFonts w:ascii="Arial" w:hAnsi="Arial" w:cs="Arial"/>
        </w:rPr>
        <w:t xml:space="preserve">а </w:t>
      </w:r>
      <w:proofErr w:type="spellStart"/>
      <w:r w:rsidR="001819E4">
        <w:rPr>
          <w:rFonts w:ascii="Arial" w:hAnsi="Arial" w:cs="Arial"/>
        </w:rPr>
        <w:t>Чувашско-Елтанского</w:t>
      </w:r>
      <w:proofErr w:type="spellEnd"/>
    </w:p>
    <w:p w:rsidR="009B7338" w:rsidRPr="001C5BA6" w:rsidRDefault="00FB23CE" w:rsidP="009B7338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сельского поселения </w:t>
      </w:r>
      <w:r w:rsidR="00100EB2" w:rsidRPr="001C5BA6">
        <w:rPr>
          <w:rFonts w:ascii="Arial" w:hAnsi="Arial" w:cs="Arial"/>
        </w:rPr>
        <w:tab/>
      </w:r>
      <w:r w:rsidR="009B7338">
        <w:rPr>
          <w:rFonts w:ascii="Arial" w:hAnsi="Arial" w:cs="Arial"/>
        </w:rPr>
        <w:t xml:space="preserve">                                                                            </w:t>
      </w:r>
      <w:r w:rsidR="001819E4">
        <w:rPr>
          <w:rFonts w:ascii="Arial" w:hAnsi="Arial" w:cs="Arial"/>
        </w:rPr>
        <w:t>С.М. Егоров</w:t>
      </w:r>
      <w:bookmarkStart w:id="0" w:name="_GoBack"/>
      <w:bookmarkEnd w:id="0"/>
    </w:p>
    <w:p w:rsidR="00100EB2" w:rsidRPr="001C5BA6" w:rsidRDefault="00100EB2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="00EA19DC" w:rsidRPr="001C5BA6">
        <w:rPr>
          <w:rFonts w:ascii="Arial" w:hAnsi="Arial" w:cs="Arial"/>
        </w:rPr>
        <w:t xml:space="preserve">                           </w:t>
      </w:r>
      <w:r w:rsidR="00FC39DD">
        <w:rPr>
          <w:rFonts w:ascii="Arial" w:hAnsi="Arial" w:cs="Arial"/>
        </w:rPr>
        <w:t xml:space="preserve">                   </w:t>
      </w:r>
      <w:r w:rsidR="00EA19DC" w:rsidRPr="001C5BA6">
        <w:rPr>
          <w:rFonts w:ascii="Arial" w:hAnsi="Arial" w:cs="Arial"/>
        </w:rPr>
        <w:t xml:space="preserve">        </w:t>
      </w:r>
    </w:p>
    <w:sectPr w:rsidR="00100EB2" w:rsidRPr="001C5BA6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819E4"/>
    <w:rsid w:val="00187A1D"/>
    <w:rsid w:val="001C5BA6"/>
    <w:rsid w:val="001F11DD"/>
    <w:rsid w:val="00203CD6"/>
    <w:rsid w:val="0021118D"/>
    <w:rsid w:val="002277A7"/>
    <w:rsid w:val="002338D1"/>
    <w:rsid w:val="00241C8D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97C19"/>
    <w:rsid w:val="005A1B9D"/>
    <w:rsid w:val="005A2A31"/>
    <w:rsid w:val="005C2696"/>
    <w:rsid w:val="005E0815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5C21"/>
    <w:rsid w:val="00C068CA"/>
    <w:rsid w:val="00C178DB"/>
    <w:rsid w:val="00C7029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4511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Чув.Елтан СП</cp:lastModifiedBy>
  <cp:revision>4</cp:revision>
  <cp:lastPrinted>2021-05-12T12:45:00Z</cp:lastPrinted>
  <dcterms:created xsi:type="dcterms:W3CDTF">2021-08-27T07:28:00Z</dcterms:created>
  <dcterms:modified xsi:type="dcterms:W3CDTF">2021-09-06T07:49:00Z</dcterms:modified>
</cp:coreProperties>
</file>