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Default="00BA41AA" w:rsidP="00277F7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ПРОЕКТ </w:t>
      </w:r>
    </w:p>
    <w:p w:rsidR="00277F7D" w:rsidRPr="00DA6710" w:rsidRDefault="00277F7D" w:rsidP="00277F7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246075F0" wp14:editId="23993914">
            <wp:extent cx="5936615" cy="1831247"/>
            <wp:effectExtent l="0" t="0" r="698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3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7D" w:rsidRDefault="00277F7D" w:rsidP="00277F7D">
      <w:pPr>
        <w:tabs>
          <w:tab w:val="left" w:pos="9349"/>
        </w:tabs>
        <w:ind w:right="-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77F7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7F7D" w:rsidRDefault="00277F7D" w:rsidP="00277F7D">
      <w:pPr>
        <w:tabs>
          <w:tab w:val="left" w:pos="9349"/>
        </w:tabs>
        <w:ind w:right="-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F7D" w:rsidRPr="00277F7D" w:rsidRDefault="00277F7D" w:rsidP="00277F7D">
      <w:pPr>
        <w:tabs>
          <w:tab w:val="left" w:pos="9349"/>
        </w:tabs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277F7D">
        <w:rPr>
          <w:rFonts w:ascii="Times New Roman" w:hAnsi="Times New Roman" w:cs="Times New Roman"/>
          <w:sz w:val="28"/>
          <w:szCs w:val="28"/>
        </w:rPr>
        <w:t>от ____________ 2021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№____</w:t>
      </w:r>
    </w:p>
    <w:p w:rsidR="00277F7D" w:rsidRPr="00277F7D" w:rsidRDefault="00277F7D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277F7D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277F7D" w:rsidRDefault="00BA41AA" w:rsidP="00277F7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77F7D">
        <w:rPr>
          <w:rFonts w:ascii="Times New Roman" w:hAnsi="Times New Roman" w:cs="Times New Roman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277F7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277F7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277F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77F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277F7D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8" w:history="1">
        <w:r w:rsidR="00DA6710" w:rsidRPr="00277F7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Pr="00277F7D">
        <w:rPr>
          <w:rFonts w:ascii="Times New Roman" w:hAnsi="Times New Roman" w:cs="Times New Roman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277F7D">
        <w:rPr>
          <w:rFonts w:ascii="Times New Roman" w:hAnsi="Times New Roman" w:cs="Times New Roman"/>
          <w:sz w:val="28"/>
          <w:szCs w:val="28"/>
        </w:rPr>
        <w:t xml:space="preserve"> </w:t>
      </w:r>
      <w:r w:rsidRPr="00277F7D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277F7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277F7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277F7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№</w:t>
      </w:r>
      <w:r w:rsidRPr="00277F7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7-ЗРТ</w:t>
      </w:r>
      <w:r w:rsidRPr="00277F7D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277F7D">
        <w:rPr>
          <w:rFonts w:ascii="Times New Roman" w:hAnsi="Times New Roman" w:cs="Times New Roman"/>
          <w:sz w:val="28"/>
          <w:szCs w:val="28"/>
        </w:rPr>
        <w:t>, Испо</w:t>
      </w:r>
      <w:r w:rsidR="00277F7D">
        <w:rPr>
          <w:rFonts w:ascii="Times New Roman" w:hAnsi="Times New Roman" w:cs="Times New Roman"/>
          <w:sz w:val="28"/>
          <w:szCs w:val="28"/>
        </w:rPr>
        <w:t xml:space="preserve">лнительный комитет </w:t>
      </w:r>
      <w:proofErr w:type="spellStart"/>
      <w:r w:rsidR="00277F7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DA6710" w:rsidRPr="00277F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A6710" w:rsidRPr="00277F7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6710" w:rsidRPr="00277F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77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277F7D">
        <w:rPr>
          <w:rFonts w:ascii="Times New Roman" w:hAnsi="Times New Roman" w:cs="Times New Roman"/>
          <w:sz w:val="28"/>
          <w:szCs w:val="28"/>
        </w:rPr>
        <w:t>Кутлушкинском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277F7D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поселения: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p w:rsidR="00BA41AA" w:rsidRPr="00DA6710" w:rsidRDefault="00E636CA" w:rsidP="00277F7D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277F7D" w:rsidP="00277F7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636CA" w:rsidRPr="00DA67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277F7D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277F7D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277F7D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КУТЛУШКИНСКОМ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277F7D">
          <w:pgSz w:w="11900" w:h="16840"/>
          <w:pgMar w:top="709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6E6DBA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Кутлушкинском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Кутлушкинском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65512">
        <w:rPr>
          <w:rFonts w:ascii="Times New Roman" w:hAnsi="Times New Roman" w:cs="Times New Roman"/>
          <w:sz w:val="28"/>
          <w:szCs w:val="28"/>
        </w:rPr>
        <w:t>1меньше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65512">
        <w:rPr>
          <w:rFonts w:ascii="Times New Roman" w:hAnsi="Times New Roman" w:cs="Times New Roman"/>
          <w:sz w:val="28"/>
          <w:szCs w:val="28"/>
        </w:rPr>
        <w:t>4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365512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65512">
        <w:rPr>
          <w:rFonts w:ascii="Times New Roman" w:hAnsi="Times New Roman" w:cs="Times New Roman"/>
          <w:sz w:val="28"/>
          <w:szCs w:val="28"/>
        </w:rPr>
        <w:t>меньше</w:t>
      </w:r>
      <w:r w:rsidRPr="00DA6710">
        <w:rPr>
          <w:rFonts w:ascii="Times New Roman" w:hAnsi="Times New Roman" w:cs="Times New Roman"/>
          <w:sz w:val="28"/>
          <w:szCs w:val="28"/>
        </w:rPr>
        <w:t xml:space="preserve">, чем в 2019 году), а также </w:t>
      </w:r>
      <w:proofErr w:type="spellStart"/>
      <w:r w:rsidR="0036551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65512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Кутлушкинском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proofErr w:type="spellStart"/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</w:t>
            </w:r>
            <w:proofErr w:type="spellEnd"/>
            <w:r w:rsidRPr="00DA6710">
              <w:rPr>
                <w:rStyle w:val="22"/>
                <w:rFonts w:eastAsia="Microsoft Sans Serif"/>
                <w:sz w:val="28"/>
                <w:szCs w:val="28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1D2E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1D2E10" w:rsidRDefault="00365512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E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365512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365512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="006B515A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bookmarkStart w:id="2" w:name="_GoBack"/>
      <w:bookmarkEnd w:id="2"/>
      <w:r w:rsidRPr="00DA6710">
        <w:rPr>
          <w:rFonts w:ascii="Times New Roman" w:hAnsi="Times New Roman" w:cs="Times New Roman"/>
          <w:sz w:val="28"/>
          <w:szCs w:val="28"/>
        </w:rPr>
        <w:t>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осуществляет подготовку и уточнение перечня программных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</w:t>
      </w:r>
      <w:r w:rsidR="00A31983">
        <w:rPr>
          <w:rFonts w:ascii="Times New Roman" w:hAnsi="Times New Roman" w:cs="Times New Roman"/>
          <w:sz w:val="28"/>
          <w:szCs w:val="28"/>
        </w:rPr>
        <w:t>т</w:t>
      </w:r>
      <w:r w:rsidR="006E6DBA">
        <w:rPr>
          <w:rFonts w:ascii="Times New Roman" w:hAnsi="Times New Roman" w:cs="Times New Roman"/>
          <w:sz w:val="28"/>
          <w:szCs w:val="28"/>
        </w:rPr>
        <w:t>лушкинского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6E6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BA">
        <w:rPr>
          <w:rFonts w:ascii="Times New Roman" w:hAnsi="Times New Roman" w:cs="Times New Roman"/>
          <w:sz w:val="28"/>
          <w:szCs w:val="28"/>
        </w:rPr>
        <w:t>Кутлушкинском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6E6DBA">
              <w:rPr>
                <w:rFonts w:ascii="Times New Roman" w:eastAsia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1D1707"/>
    <w:rsid w:val="001D2E10"/>
    <w:rsid w:val="00277F7D"/>
    <w:rsid w:val="003114EA"/>
    <w:rsid w:val="00365512"/>
    <w:rsid w:val="003F1482"/>
    <w:rsid w:val="0043160B"/>
    <w:rsid w:val="00433B3F"/>
    <w:rsid w:val="004A66F7"/>
    <w:rsid w:val="006B515A"/>
    <w:rsid w:val="006E6DBA"/>
    <w:rsid w:val="00744C0D"/>
    <w:rsid w:val="007D792D"/>
    <w:rsid w:val="007F637B"/>
    <w:rsid w:val="00870454"/>
    <w:rsid w:val="008A520C"/>
    <w:rsid w:val="00973EE9"/>
    <w:rsid w:val="009750A4"/>
    <w:rsid w:val="00A31983"/>
    <w:rsid w:val="00A979AE"/>
    <w:rsid w:val="00BA41AA"/>
    <w:rsid w:val="00C04686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77F7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F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77F7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E1B1-81C8-4A5B-BC5D-EF9E7ADE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Karg</cp:lastModifiedBy>
  <cp:revision>10</cp:revision>
  <cp:lastPrinted>2021-03-11T07:56:00Z</cp:lastPrinted>
  <dcterms:created xsi:type="dcterms:W3CDTF">2021-03-10T05:16:00Z</dcterms:created>
  <dcterms:modified xsi:type="dcterms:W3CDTF">2021-03-11T07:57:00Z</dcterms:modified>
</cp:coreProperties>
</file>