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bookmarkStart w:id="0" w:name="_GoBack"/>
      <w:bookmarkEnd w:id="0"/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D84D01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Староромашкинского</w:t>
      </w:r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Чистопольского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D84D01">
        <w:rPr>
          <w:sz w:val="28"/>
          <w:szCs w:val="28"/>
        </w:rPr>
        <w:t>Староромашкинского</w:t>
      </w:r>
      <w:r w:rsidR="00E629ED" w:rsidRPr="00B30FF0">
        <w:rPr>
          <w:sz w:val="28"/>
          <w:szCs w:val="28"/>
        </w:rPr>
        <w:t xml:space="preserve"> сельского поселения </w:t>
      </w:r>
      <w:r w:rsidR="00320AB0" w:rsidRPr="00B30FF0">
        <w:rPr>
          <w:sz w:val="28"/>
          <w:szCs w:val="28"/>
        </w:rPr>
        <w:t>Чистопольского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D84D01">
        <w:rPr>
          <w:sz w:val="28"/>
          <w:szCs w:val="28"/>
        </w:rPr>
        <w:t>«Староромашкинское</w:t>
      </w:r>
      <w:r w:rsidR="00E629ED" w:rsidRPr="00B30FF0">
        <w:rPr>
          <w:sz w:val="28"/>
          <w:szCs w:val="28"/>
        </w:rPr>
        <w:t xml:space="preserve"> сельское поселение» </w:t>
      </w:r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5"/>
      <w:r w:rsidRPr="00B30FF0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1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D84D01">
        <w:rPr>
          <w:sz w:val="28"/>
          <w:szCs w:val="28"/>
        </w:rPr>
        <w:t>Староромашкинского</w:t>
      </w:r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r w:rsidR="00307878" w:rsidRPr="00B30FF0">
        <w:rPr>
          <w:sz w:val="28"/>
          <w:szCs w:val="28"/>
        </w:rPr>
        <w:t>Чистопольского</w:t>
      </w: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="00844ACC">
        <w:rPr>
          <w:sz w:val="28"/>
          <w:szCs w:val="28"/>
        </w:rPr>
        <w:t xml:space="preserve">                                  Давлетшина Р.Г.</w:t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D84D01">
        <w:t>Староромашкинского</w:t>
      </w:r>
      <w:r w:rsidR="00E629ED" w:rsidRPr="00B32CD0">
        <w:t xml:space="preserve"> сельского поселения </w:t>
      </w:r>
      <w:r w:rsidR="00C04726" w:rsidRPr="00B32CD0">
        <w:t>Чистопольского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D84D01">
        <w:rPr>
          <w:sz w:val="24"/>
        </w:rPr>
        <w:t xml:space="preserve"> Сьтароромашкинское </w:t>
      </w:r>
      <w:r w:rsidR="008E59FC" w:rsidRPr="00B32CD0">
        <w:rPr>
          <w:sz w:val="24"/>
        </w:rPr>
        <w:t xml:space="preserve">сельское поселение» </w:t>
      </w:r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D84D01">
        <w:rPr>
          <w:sz w:val="24"/>
        </w:rPr>
        <w:t>«Староромашкинское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D84D01">
        <w:rPr>
          <w:sz w:val="24"/>
        </w:rPr>
        <w:t>«Староромашкинское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 xml:space="preserve">Инициативный проект включает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>ных вопросов, право решения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участвуют в контроле за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 xml:space="preserve">а (далее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>фамилии, имена, отчества членов инициативной группы, сведения о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идентификации и аутентификации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случае,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заверительные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 xml:space="preserve">В случае,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 xml:space="preserve">, а также об инициаторах проекта.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 xml:space="preserve">В случае,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инициативных проектов прошедшими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54" w:rsidRDefault="00184854">
      <w:r>
        <w:separator/>
      </w:r>
    </w:p>
  </w:endnote>
  <w:endnote w:type="continuationSeparator" w:id="0">
    <w:p w:rsidR="00184854" w:rsidRDefault="0018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54" w:rsidRDefault="00184854">
      <w:r>
        <w:separator/>
      </w:r>
    </w:p>
  </w:footnote>
  <w:footnote w:type="continuationSeparator" w:id="0">
    <w:p w:rsidR="00184854" w:rsidRDefault="00184854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7570D">
      <w:rPr>
        <w:noProof/>
      </w:rPr>
      <w:t>2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4854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C40A2"/>
    <w:rsid w:val="002D0553"/>
    <w:rsid w:val="002D0B4E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7570D"/>
    <w:rsid w:val="00380333"/>
    <w:rsid w:val="00383527"/>
    <w:rsid w:val="00391E8E"/>
    <w:rsid w:val="00393B8B"/>
    <w:rsid w:val="003C636B"/>
    <w:rsid w:val="003E2954"/>
    <w:rsid w:val="003E73D7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A1139"/>
    <w:rsid w:val="007B631C"/>
    <w:rsid w:val="007B6E20"/>
    <w:rsid w:val="00806AA2"/>
    <w:rsid w:val="008113EF"/>
    <w:rsid w:val="00812BFC"/>
    <w:rsid w:val="00844AC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24CEE"/>
    <w:rsid w:val="00D26062"/>
    <w:rsid w:val="00D3254C"/>
    <w:rsid w:val="00D348A8"/>
    <w:rsid w:val="00D37763"/>
    <w:rsid w:val="00D51615"/>
    <w:rsid w:val="00D62712"/>
    <w:rsid w:val="00D63F76"/>
    <w:rsid w:val="00D8084C"/>
    <w:rsid w:val="00D80F36"/>
    <w:rsid w:val="00D84D01"/>
    <w:rsid w:val="00D873C5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EC792C"/>
    <w:rsid w:val="00EE7D5B"/>
    <w:rsid w:val="00EF215B"/>
    <w:rsid w:val="00F0097C"/>
    <w:rsid w:val="00F04827"/>
    <w:rsid w:val="00F11E41"/>
    <w:rsid w:val="00F24F54"/>
    <w:rsid w:val="00F3353C"/>
    <w:rsid w:val="00F3677E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24A1-395B-4F5E-A1A0-A48A3789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5796</Words>
  <Characters>33041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StarRomashcino</cp:lastModifiedBy>
  <cp:revision>4</cp:revision>
  <cp:lastPrinted>2020-07-28T13:29:00Z</cp:lastPrinted>
  <dcterms:created xsi:type="dcterms:W3CDTF">2021-01-22T08:53:00Z</dcterms:created>
  <dcterms:modified xsi:type="dcterms:W3CDTF">2021-01-22T08:54:00Z</dcterms:modified>
</cp:coreProperties>
</file>