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EC" w:rsidRDefault="00B5435A" w:rsidP="00B543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</w:t>
      </w:r>
      <w:r w:rsidR="00FA6D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ПРОЕКТ</w:t>
      </w:r>
    </w:p>
    <w:p w:rsidR="00B5435A" w:rsidRDefault="00FA6DEC" w:rsidP="00B5435A">
      <w:pPr>
        <w:pStyle w:val="HEADERTEXT"/>
        <w:rPr>
          <w:rFonts w:ascii="Times New Roman" w:hAnsi="Times New Roman" w:cs="Times New Roman"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</w:t>
      </w:r>
      <w:r w:rsidR="00B543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="00B5435A">
        <w:rPr>
          <w:rFonts w:ascii="Times New Roman" w:hAnsi="Times New Roman" w:cs="Times New Roman"/>
          <w:bCs/>
          <w:color w:val="auto"/>
          <w:sz w:val="36"/>
          <w:szCs w:val="36"/>
        </w:rPr>
        <w:t>С</w:t>
      </w:r>
      <w:r w:rsidR="00B5435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ОВЕТ </w:t>
      </w:r>
      <w:proofErr w:type="spellStart"/>
      <w:r w:rsidR="00B5435A">
        <w:rPr>
          <w:rFonts w:ascii="Times New Roman" w:hAnsi="Times New Roman" w:cs="Times New Roman"/>
          <w:bCs/>
          <w:color w:val="auto"/>
          <w:sz w:val="36"/>
          <w:szCs w:val="36"/>
        </w:rPr>
        <w:t>Староромашкинского</w:t>
      </w:r>
      <w:proofErr w:type="spellEnd"/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B5435A" w:rsidRDefault="00B5435A" w:rsidP="00B5435A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B5435A" w:rsidRDefault="00FA6DEC" w:rsidP="00B543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B543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</w:t>
      </w:r>
      <w:r w:rsidR="003203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543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="00B5435A">
        <w:rPr>
          <w:rFonts w:ascii="Times New Roman" w:hAnsi="Times New Roman" w:cs="Times New Roman"/>
          <w:bCs/>
          <w:color w:val="auto"/>
          <w:sz w:val="28"/>
          <w:szCs w:val="28"/>
        </w:rPr>
        <w:t>2020 года</w:t>
      </w:r>
    </w:p>
    <w:p w:rsidR="00B5435A" w:rsidRDefault="00B5435A" w:rsidP="00B5435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5435A" w:rsidRDefault="00B5435A" w:rsidP="00B5435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p w:rsidR="00B5435A" w:rsidRPr="00EB1A6D" w:rsidRDefault="00EB1A6D" w:rsidP="00EB1A6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B1A6D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представление </w:t>
      </w:r>
      <w:proofErr w:type="spellStart"/>
      <w:r w:rsidRPr="00EB1A6D">
        <w:rPr>
          <w:rFonts w:ascii="Times New Roman" w:hAnsi="Times New Roman" w:cs="Times New Roman"/>
          <w:color w:val="auto"/>
          <w:sz w:val="28"/>
          <w:szCs w:val="28"/>
        </w:rPr>
        <w:t>Чистопо</w:t>
      </w:r>
      <w:r>
        <w:rPr>
          <w:rFonts w:ascii="Times New Roman" w:hAnsi="Times New Roman" w:cs="Times New Roman"/>
          <w:color w:val="auto"/>
          <w:sz w:val="28"/>
          <w:szCs w:val="28"/>
        </w:rPr>
        <w:t>льского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прокурора от </w:t>
      </w:r>
      <w:r w:rsidRPr="00EB1A6D">
        <w:rPr>
          <w:rFonts w:ascii="Times New Roman" w:hAnsi="Times New Roman" w:cs="Times New Roman"/>
          <w:color w:val="auto"/>
          <w:sz w:val="28"/>
          <w:szCs w:val="28"/>
        </w:rPr>
        <w:t>26.06.2020 №02-08-03-2020 «Об устранении нарушени</w:t>
      </w:r>
      <w:r>
        <w:rPr>
          <w:rFonts w:ascii="Times New Roman" w:hAnsi="Times New Roman" w:cs="Times New Roman"/>
          <w:color w:val="auto"/>
          <w:sz w:val="28"/>
          <w:szCs w:val="28"/>
        </w:rPr>
        <w:t>й федерального законодательства.</w:t>
      </w:r>
    </w:p>
    <w:p w:rsidR="00B5435A" w:rsidRDefault="00B5435A" w:rsidP="00EB1A6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>
        <w:rPr>
          <w:rFonts w:ascii="Times New Roman" w:hAnsi="Times New Roman" w:cs="Times New Roman"/>
          <w:sz w:val="28"/>
          <w:szCs w:val="28"/>
        </w:rPr>
        <w:t>, 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установленном порядке и разместить на официальном сайте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B5435A" w:rsidRDefault="00B5435A" w:rsidP="00B5435A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20356" w:rsidRDefault="00320356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5435A" w:rsidRDefault="00FA6DEC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г№</w:t>
      </w:r>
      <w:bookmarkStart w:id="0" w:name="_GoBack"/>
      <w:bookmarkEnd w:id="0"/>
    </w:p>
    <w:p w:rsidR="00B5435A" w:rsidRDefault="00B5435A" w:rsidP="00B5435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B5435A" w:rsidRDefault="00B5435A" w:rsidP="00B543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Настоящий порядок предоставления муниципальных гарантий по инвестиционным проектам </w:t>
      </w:r>
      <w:r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 - муниципальное образование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образование), от имени которого выступает Исполнительный комитет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муниципального образования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инвестиционного проекта, в отношении которого Советом (комиссией) по инвестициям (далее – Совет по инвестициям) определена муниципальная поддержка в форме муниципальных гарантий;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Предоставление принципалам муниципальных гарантий осуществляется на конкурсной основе. Организатором конкурса является Исполнительный комитет.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Исполнительный комитет размещает информационное извещение о проведении конкурса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 по инвестициям.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Муниципальные гарантии предоставляются в пределах общей суммы предоставляемых гарантий, указанной в решении Совета муниципального образования о бюджете на очередной финансовый год и плановый период.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 Совета муниципального образования о бюджете города на очередной финансовый год и плановый период, предоставляется Исполнительным комитетом в финансовый орган в сроки, установленные Исполнительным комитетом о разработке прогноза социально-экономического развития муниципального образования и составлении проекта бюджета муниципального образования на очередной финансовый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1.10.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B5435A" w:rsidRDefault="00B5435A" w:rsidP="00B543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B5435A" w:rsidRDefault="00B5435A" w:rsidP="00B5435A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B5435A" w:rsidRDefault="00B5435A" w:rsidP="00B5435A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B5435A" w:rsidRDefault="00B5435A" w:rsidP="00B5435A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B5435A" w:rsidRDefault="00B5435A" w:rsidP="00B5435A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Для участия в конкурсе принципал представляет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Исполнительный комитет заявление в свободной письменной форме на имя руководителя Исполнительного комитета об участии в 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гарантии;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Копии документов о правах на имущество, являющееся предметом залога;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Копия заключения независимой оценки объектов залогового обеспечения;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Документы по обеспечению исполнения обязательств (договор о залоге, договор поручительства);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2.2.9. Разрешение принципала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заверенное подписью и печатью принципала.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Документы при применении принципалом общей системы налогообложения: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Документы при применении принципалом специального налогового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режима: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поручителя, предусмотренные настоящим Порядком,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срок, указанный в информационном извещении о проведении конкурса, принципал подает в Исполнительный комитет Заявление с приложением документов, указанных в п. 2.5-2.18 раздела II настоящего Порядка. Исполнительный комитет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Исполнительный комитет в течение 5 рабочих дней со дня окончания приема Заявления с приложением документов, предусмотренных настоящим Порядком 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по инвестициям о соответствии либо несоответствии принципала указанным требованиям и передает информацию и Документы для рассмотрения на заседании Совета по инвестициям.</w:t>
      </w:r>
      <w:proofErr w:type="gramEnd"/>
    </w:p>
    <w:p w:rsidR="00B5435A" w:rsidRDefault="00B5435A" w:rsidP="00B5435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Заседание Совета по инвестициям проходит в течение 20 дней после поступления информации и документов, в соответствии с настоящим Порядком.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Конкурс считается состоявшимся, при участии двух и более принципалов.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Победителем конкурса считается только один принципал соответствующий требованиям настоящего Порядка.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Итоги конкурса отражаются в протоколе заседания Совета по инвестициям, который подписывается председателем либо лицом, его замещающим, и секретарем Совета по инвестициям.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О принятом Советом решении Исполнительный комитет 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принятия Советом по инвестициям решения об отказе в предоставлении муниципальной поддержки в письменном ответе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предоставлении муниципальной поддержки.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Основаниями для отказа в предоставлении муниципальной поддержки в форме муниципальных гарантий являются: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Исполнительный комитет в течение 10 рабочих дней после принятия Советом по инвестициям решения о предоставлении муниципальной поддержки в форме муниципальных гарантий готовит проект постановления Исполнительного комитета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Исполнительный комитет.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2.20. 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Основаниями для досрочного прекращения договора о предоставлении муниципальной гарантии являются следующие случаи: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435A" w:rsidRDefault="00B5435A" w:rsidP="00B5435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5435A" w:rsidRDefault="00B5435A" w:rsidP="00B5435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 дефицита бюджета муниципального образования.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муниципального образования.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Порядок и сроки возмещения принципалом гаранту в порядке регресса </w:t>
      </w:r>
      <w:r>
        <w:rPr>
          <w:rFonts w:ascii="Times New Roman" w:hAnsi="Times New Roman" w:cs="Times New Roman"/>
          <w:sz w:val="28"/>
          <w:szCs w:val="28"/>
        </w:rPr>
        <w:lastRenderedPageBreak/>
        <w:t>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Предоставление и исполнение муниципальных гарантий подлежит отражению в муниципальной долговой книге.</w:t>
      </w:r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ведет учет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B5435A" w:rsidRDefault="00B5435A" w:rsidP="00B5435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Исполнительный комитет ежегодно вносит отчет о выполнении программы предоставления муниципальных гарантий на рассмотрение Совета муниципального образования в составе отчета об исполнении бюджета муниципального образования.</w:t>
      </w:r>
    </w:p>
    <w:p w:rsidR="002B5A83" w:rsidRDefault="002B5A83"/>
    <w:sectPr w:rsidR="002B5A83" w:rsidSect="00EB1A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A"/>
    <w:rsid w:val="002B5A83"/>
    <w:rsid w:val="00320356"/>
    <w:rsid w:val="00B5435A"/>
    <w:rsid w:val="00EB1A6D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5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5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B5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43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5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5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B5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43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StarRomashcino</dc:creator>
  <cp:lastModifiedBy>StarRomashcino</cp:lastModifiedBy>
  <cp:revision>5</cp:revision>
  <cp:lastPrinted>2020-07-23T05:40:00Z</cp:lastPrinted>
  <dcterms:created xsi:type="dcterms:W3CDTF">2020-07-22T05:26:00Z</dcterms:created>
  <dcterms:modified xsi:type="dcterms:W3CDTF">2020-07-23T10:40:00Z</dcterms:modified>
</cp:coreProperties>
</file>