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37CA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ЧИСТОПОЛЬСКО-ВЫСЕЛЬСКОГО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6E37CA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Чистопольско-Высельское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</w:t>
      </w:r>
      <w:r w:rsidR="006E37C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Федерации», </w:t>
      </w: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37CA">
        <w:rPr>
          <w:rFonts w:ascii="Times New Roman" w:hAnsi="Times New Roman" w:cs="Times New Roman"/>
          <w:bCs/>
          <w:sz w:val="28"/>
          <w:szCs w:val="28"/>
        </w:rPr>
        <w:t>Чистопольско-Высельского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6E37CA"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E37CA">
        <w:rPr>
          <w:rFonts w:ascii="Times New Roman" w:hAnsi="Times New Roman" w:cs="Times New Roman"/>
          <w:sz w:val="28"/>
          <w:szCs w:val="28"/>
        </w:rPr>
        <w:t>Чистопольско-Высельского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E37CA"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В.В.Малышев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C21B83">
        <w:rPr>
          <w:rFonts w:ascii="Times New Roman" w:hAnsi="Times New Roman" w:cs="Times New Roman"/>
          <w:sz w:val="28"/>
          <w:szCs w:val="28"/>
        </w:rPr>
        <w:t xml:space="preserve"> Чистопольско-Высельского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C21B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Чистопольско-Высельское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 w:rsidR="00C21B83"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C21B83"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C21B83">
        <w:rPr>
          <w:rFonts w:ascii="Times New Roman" w:hAnsi="Times New Roman" w:cs="Times New Roman"/>
          <w:bCs/>
          <w:sz w:val="28"/>
          <w:szCs w:val="28"/>
        </w:rPr>
        <w:t>Чистопольско-Высельского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лица, претендующего на получение муниципальной гарантии,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>. 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полномочия руководителя на текущий период времени (справка, выписка из протокола, приказ о назначении и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>. Разрешение принципала на безакцептное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>. 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6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уменьшены объемы софинансирования по сравнению с ранее запланированными объемами, приводящие к не</w:t>
      </w:r>
      <w:r w:rsidR="00C21B83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достижению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проекта допущена неуплата налогов, сборов в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федеральный,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</w:t>
      </w:r>
      <w:bookmarkStart w:id="0" w:name="_GoBack"/>
      <w:bookmarkEnd w:id="0"/>
      <w:r w:rsidRPr="00595C5B">
        <w:rPr>
          <w:rFonts w:ascii="Times New Roman" w:hAnsi="Times New Roman" w:cs="Times New Roman"/>
          <w:sz w:val="28"/>
          <w:szCs w:val="28"/>
        </w:rPr>
        <w:t>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18" w:rsidRDefault="00270F18">
      <w:pPr>
        <w:spacing w:after="0" w:line="240" w:lineRule="auto"/>
      </w:pPr>
      <w:r>
        <w:separator/>
      </w:r>
    </w:p>
  </w:endnote>
  <w:endnote w:type="continuationSeparator" w:id="0">
    <w:p w:rsidR="00270F18" w:rsidRDefault="0027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18" w:rsidRDefault="00270F18">
      <w:pPr>
        <w:spacing w:after="0" w:line="240" w:lineRule="auto"/>
      </w:pPr>
      <w:r>
        <w:separator/>
      </w:r>
    </w:p>
  </w:footnote>
  <w:footnote w:type="continuationSeparator" w:id="0">
    <w:p w:rsidR="00270F18" w:rsidRDefault="00270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270F18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6E37CA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C21B83"/>
    <w:rsid w:val="00D5467D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8E6098-352B-4439-A4C3-E9DE673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User</cp:lastModifiedBy>
  <cp:revision>22</cp:revision>
  <cp:lastPrinted>2020-07-20T10:16:00Z</cp:lastPrinted>
  <dcterms:created xsi:type="dcterms:W3CDTF">2020-07-16T13:22:00Z</dcterms:created>
  <dcterms:modified xsi:type="dcterms:W3CDTF">2020-07-20T10:16:00Z</dcterms:modified>
</cp:coreProperties>
</file>