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C0" w:rsidRDefault="005316C0" w:rsidP="005316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316C0" w:rsidRDefault="005316C0" w:rsidP="005316C0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F9F6A9D" wp14:editId="01C9EDE5">
            <wp:extent cx="5943600" cy="1933575"/>
            <wp:effectExtent l="0" t="0" r="0" b="9525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C0" w:rsidRDefault="005316C0" w:rsidP="005316C0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</w:p>
    <w:p w:rsidR="005316C0" w:rsidRDefault="005316C0" w:rsidP="005316C0">
      <w:pPr>
        <w:tabs>
          <w:tab w:val="left" w:pos="963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от __________2020 года</w:t>
      </w:r>
    </w:p>
    <w:p w:rsidR="005316C0" w:rsidRDefault="005316C0" w:rsidP="005316C0">
      <w:pPr>
        <w:tabs>
          <w:tab w:val="left" w:pos="9639"/>
        </w:tabs>
        <w:ind w:right="-1"/>
        <w:jc w:val="both"/>
        <w:rPr>
          <w:sz w:val="28"/>
          <w:szCs w:val="28"/>
        </w:rPr>
      </w:pPr>
    </w:p>
    <w:p w:rsidR="005316C0" w:rsidRDefault="005316C0" w:rsidP="005316C0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формирования перечня налоговых расходов и оценки налоговых расход</w:t>
      </w:r>
      <w:r>
        <w:rPr>
          <w:sz w:val="28"/>
          <w:szCs w:val="28"/>
        </w:rPr>
        <w:t>ов муниципального образования «Данауровское</w:t>
      </w:r>
      <w:r>
        <w:rPr>
          <w:sz w:val="28"/>
          <w:szCs w:val="28"/>
        </w:rPr>
        <w:t xml:space="preserve"> сельское поселение» Чистопольского муниципального района Республики Татарстан </w:t>
      </w:r>
    </w:p>
    <w:p w:rsidR="005316C0" w:rsidRDefault="005316C0" w:rsidP="005316C0">
      <w:pPr>
        <w:ind w:firstLine="708"/>
        <w:jc w:val="both"/>
        <w:rPr>
          <w:sz w:val="28"/>
          <w:szCs w:val="28"/>
        </w:rPr>
      </w:pPr>
    </w:p>
    <w:p w:rsidR="005316C0" w:rsidRDefault="005316C0" w:rsidP="005316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174.3. Бюджетного кодекса Российской Федерации, с постановлением Правительства Российской Федерации от 22 июня 2019 года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r>
        <w:rPr>
          <w:sz w:val="28"/>
          <w:szCs w:val="28"/>
        </w:rPr>
        <w:t>Данауровского</w:t>
      </w:r>
      <w:r>
        <w:rPr>
          <w:sz w:val="28"/>
          <w:szCs w:val="28"/>
        </w:rPr>
        <w:t xml:space="preserve"> сельского поселения </w:t>
      </w:r>
    </w:p>
    <w:p w:rsidR="005316C0" w:rsidRDefault="005316C0" w:rsidP="005316C0">
      <w:pPr>
        <w:ind w:firstLine="708"/>
        <w:jc w:val="center"/>
        <w:rPr>
          <w:sz w:val="28"/>
          <w:szCs w:val="28"/>
        </w:rPr>
      </w:pPr>
    </w:p>
    <w:p w:rsidR="005316C0" w:rsidRDefault="005316C0" w:rsidP="005316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16C0" w:rsidRDefault="005316C0" w:rsidP="005316C0">
      <w:pPr>
        <w:ind w:firstLine="708"/>
        <w:jc w:val="both"/>
        <w:rPr>
          <w:sz w:val="28"/>
          <w:szCs w:val="28"/>
        </w:rPr>
      </w:pPr>
    </w:p>
    <w:p w:rsidR="005316C0" w:rsidRDefault="005316C0" w:rsidP="005316C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формирования перечня налоговых расходов и проведения оценки налоговых расходов муниципального образования «</w:t>
      </w:r>
      <w:r>
        <w:rPr>
          <w:sz w:val="28"/>
          <w:szCs w:val="28"/>
        </w:rPr>
        <w:t>Данауровское</w:t>
      </w:r>
      <w:r>
        <w:rPr>
          <w:sz w:val="28"/>
          <w:szCs w:val="28"/>
        </w:rPr>
        <w:t xml:space="preserve"> сельское поселение» Чистопольского муниципального района Республики Татарстан согласно приложению. </w:t>
      </w:r>
    </w:p>
    <w:p w:rsidR="005316C0" w:rsidRDefault="005316C0" w:rsidP="005316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Предложить Управлению Федеральной налоговой службы по Республике Татарстан ежегодно до 1 сентября направлять в Исполнительн</w:t>
      </w:r>
      <w:r>
        <w:rPr>
          <w:sz w:val="28"/>
          <w:szCs w:val="28"/>
        </w:rPr>
        <w:t xml:space="preserve">ый комитет Данауровского </w:t>
      </w:r>
      <w:r>
        <w:rPr>
          <w:sz w:val="28"/>
          <w:szCs w:val="28"/>
        </w:rPr>
        <w:t xml:space="preserve">сельского поселения сведения за отчетный финансовый год и за год, предшествующий отчетному году: </w:t>
      </w:r>
    </w:p>
    <w:p w:rsidR="005316C0" w:rsidRDefault="005316C0" w:rsidP="005316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количестве плательщиков, воспользовавшихся налоговыми льготами;</w:t>
      </w:r>
    </w:p>
    <w:p w:rsidR="005316C0" w:rsidRDefault="005316C0" w:rsidP="005316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суммах выпадающих доходов бюдже</w:t>
      </w:r>
      <w:r>
        <w:rPr>
          <w:sz w:val="28"/>
          <w:szCs w:val="28"/>
        </w:rPr>
        <w:t>та муниципального образования «Данауровское</w:t>
      </w:r>
      <w:r>
        <w:rPr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 каждому налоговому расходу муниципального образования «</w:t>
      </w:r>
      <w:r>
        <w:rPr>
          <w:sz w:val="28"/>
          <w:szCs w:val="28"/>
        </w:rPr>
        <w:t>Данауровское</w:t>
      </w:r>
      <w:r>
        <w:rPr>
          <w:sz w:val="28"/>
          <w:szCs w:val="28"/>
        </w:rPr>
        <w:t xml:space="preserve"> сельское поселение» Чистопольского муниципального района Республики Татарстан.</w:t>
      </w:r>
    </w:p>
    <w:p w:rsidR="005316C0" w:rsidRDefault="005316C0" w:rsidP="005316C0">
      <w:pPr>
        <w:jc w:val="both"/>
        <w:rPr>
          <w:sz w:val="28"/>
          <w:szCs w:val="28"/>
        </w:rPr>
      </w:pPr>
    </w:p>
    <w:p w:rsidR="005316C0" w:rsidRDefault="005316C0" w:rsidP="005316C0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5316C0" w:rsidRDefault="005316C0" w:rsidP="005316C0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4. Настоящее постановление вступает в силу со дня его официального опубликования.</w:t>
      </w:r>
    </w:p>
    <w:p w:rsidR="005316C0" w:rsidRDefault="005316C0" w:rsidP="005316C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5316C0" w:rsidRDefault="005316C0" w:rsidP="005316C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5316C0" w:rsidRDefault="005316C0" w:rsidP="005316C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5316C0" w:rsidRDefault="005316C0" w:rsidP="005316C0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bCs/>
          <w:sz w:val="28"/>
          <w:szCs w:val="28"/>
        </w:rPr>
        <w:t>Данауровского</w:t>
      </w:r>
    </w:p>
    <w:p w:rsidR="005316C0" w:rsidRDefault="005316C0" w:rsidP="005316C0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В.К.Садрутдинова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pStyle w:val="a6"/>
        <w:ind w:left="7092" w:firstLine="696"/>
        <w:jc w:val="center"/>
        <w:rPr>
          <w:sz w:val="28"/>
          <w:szCs w:val="28"/>
        </w:rPr>
      </w:pPr>
    </w:p>
    <w:p w:rsidR="005316C0" w:rsidRDefault="005316C0" w:rsidP="005316C0">
      <w:pPr>
        <w:ind w:left="567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Приложение</w:t>
      </w:r>
    </w:p>
    <w:p w:rsidR="005316C0" w:rsidRDefault="005316C0" w:rsidP="005316C0">
      <w:pPr>
        <w:pStyle w:val="ab"/>
        <w:spacing w:after="0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316C0" w:rsidRDefault="005316C0" w:rsidP="005316C0">
      <w:pPr>
        <w:pStyle w:val="ab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5316C0" w:rsidRDefault="005316C0" w:rsidP="005316C0">
      <w:pPr>
        <w:pStyle w:val="ab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Данауровского</w:t>
      </w:r>
      <w:r>
        <w:rPr>
          <w:sz w:val="28"/>
          <w:szCs w:val="28"/>
        </w:rPr>
        <w:t xml:space="preserve"> сельского поселения</w:t>
      </w:r>
    </w:p>
    <w:p w:rsidR="005316C0" w:rsidRDefault="005316C0" w:rsidP="005316C0">
      <w:pPr>
        <w:pStyle w:val="ab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от _____________№ ______</w:t>
      </w:r>
    </w:p>
    <w:p w:rsidR="005316C0" w:rsidRDefault="005316C0" w:rsidP="005316C0">
      <w:pPr>
        <w:ind w:firstLine="708"/>
        <w:jc w:val="right"/>
        <w:rPr>
          <w:sz w:val="28"/>
          <w:szCs w:val="28"/>
        </w:rPr>
      </w:pPr>
    </w:p>
    <w:p w:rsidR="005316C0" w:rsidRDefault="005316C0" w:rsidP="005316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5316C0" w:rsidRDefault="005316C0" w:rsidP="005316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перечня налоговых расходов и проведения</w:t>
      </w:r>
    </w:p>
    <w:p w:rsidR="005316C0" w:rsidRDefault="005316C0" w:rsidP="005316C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оценки налоговых расходов муниципального о</w:t>
      </w:r>
      <w:r>
        <w:rPr>
          <w:sz w:val="28"/>
          <w:szCs w:val="28"/>
        </w:rPr>
        <w:t xml:space="preserve">бразования «Данауровское </w:t>
      </w:r>
      <w:r>
        <w:rPr>
          <w:sz w:val="28"/>
          <w:szCs w:val="28"/>
        </w:rPr>
        <w:t>сельское поселение» Чистопольского муниципального района Республики Татарстан</w:t>
      </w:r>
    </w:p>
    <w:p w:rsidR="005316C0" w:rsidRDefault="005316C0" w:rsidP="005316C0">
      <w:pPr>
        <w:ind w:right="-1"/>
        <w:jc w:val="center"/>
        <w:rPr>
          <w:sz w:val="28"/>
          <w:szCs w:val="28"/>
        </w:rPr>
      </w:pPr>
    </w:p>
    <w:p w:rsidR="005316C0" w:rsidRDefault="005316C0" w:rsidP="005316C0">
      <w:pPr>
        <w:tabs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5316C0" w:rsidRDefault="005316C0" w:rsidP="005316C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правила формирования перечня налоговых расходов муниципального </w:t>
      </w:r>
      <w:r>
        <w:rPr>
          <w:sz w:val="28"/>
          <w:szCs w:val="28"/>
        </w:rPr>
        <w:t xml:space="preserve">образования «Данауровское </w:t>
      </w:r>
      <w:r>
        <w:rPr>
          <w:sz w:val="28"/>
          <w:szCs w:val="28"/>
        </w:rPr>
        <w:t>сельское поселение» Чистопольского муниципального района Республики Татарстан (далее по тексту – муниципальное образование)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оценки налоговых расходов (далее порядок)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В настоящем порядке используются термины и понятия, установленные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3.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0"/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В целях оценки налоговых расходов муниципального образования Исполнительный комитет муниципального образования формирует перечень налоговых расходов муниципального образования.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и обобщение результатов оценки налоговых расходов муниципального образования осуществляется отделом экономики Исполнительного комитета Чистопольского муниципального района Республики Татарстан (далее по тексту – отдел экономики). 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  <w:highlight w:val="lightGray"/>
        </w:rPr>
      </w:pPr>
    </w:p>
    <w:p w:rsidR="005316C0" w:rsidRDefault="005316C0" w:rsidP="005316C0">
      <w:pPr>
        <w:pStyle w:val="a6"/>
        <w:ind w:left="0"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Формирование перечня налоговых расходов муниципального образования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Перечень налоговых расходов муниципального образования на очередной финансовый год и плановый период разрабатывается Исполнительным комитетом по форме в соответствии с приложением №2 к настоящему постановлению и   в срок до 1 июня текущего года утверждает  </w:t>
      </w:r>
      <w:r>
        <w:rPr>
          <w:sz w:val="28"/>
          <w:szCs w:val="28"/>
        </w:rPr>
        <w:lastRenderedPageBreak/>
        <w:t xml:space="preserve">перечень налоговых расходов муниципального образования после согласования  с кураторами налоговых расходов. 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1 июля текущего года.</w:t>
      </w:r>
    </w:p>
    <w:p w:rsidR="005316C0" w:rsidRDefault="005316C0" w:rsidP="005316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по запросу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отчетному.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5316C0" w:rsidRDefault="005316C0" w:rsidP="005316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целях проведения оценки налоговых расходов муниципального образования отдел экономики  по согласованию с исполнительным комитетом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>
        <w:rPr>
          <w:sz w:val="28"/>
          <w:szCs w:val="28"/>
        </w:rPr>
        <w:t>плательщиков</w:t>
      </w:r>
      <w:proofErr w:type="gramEnd"/>
      <w:r>
        <w:rPr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7" w:history="1">
        <w:r>
          <w:rPr>
            <w:rStyle w:val="a5"/>
            <w:color w:val="auto"/>
            <w:sz w:val="28"/>
            <w:szCs w:val="28"/>
          </w:rPr>
          <w:t>приложением</w:t>
        </w:r>
      </w:hyperlink>
      <w:r>
        <w:rPr>
          <w:sz w:val="28"/>
          <w:szCs w:val="28"/>
        </w:rPr>
        <w:t xml:space="preserve"> к настоящему Порядку.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с даты вступления в силу соответствующего нормативного правового акта, вносит по согласованию с отделом экономики и кураторами налоговых расходов соответствующие изменения в Перечень налоговых расходов муниципального образования.</w:t>
      </w:r>
      <w:proofErr w:type="gramEnd"/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bookmarkStart w:id="1" w:name="P53"/>
      <w:bookmarkStart w:id="2" w:name="P55"/>
      <w:bookmarkEnd w:id="1"/>
      <w:bookmarkEnd w:id="2"/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Порядок оценки налоговых расходов муниципального образования.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Оценка налоговых расходов осуществляется куратором налогового расхода и включает: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-оценку объемов налоговых расходов муниципального образования;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-оценку эффективности налоговых расходов муниципального образования.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Оценка эффективности налоговых расходов муниципального образования включает: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оценку целесообразности налоговых расходов муниципального образования;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оценку результативности налоговых расходов муниципального образования.</w:t>
      </w:r>
    </w:p>
    <w:p w:rsidR="005316C0" w:rsidRDefault="005316C0" w:rsidP="005316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12.Критериями целесообразности налоговых расходов муниципального образования являются:</w:t>
      </w:r>
    </w:p>
    <w:p w:rsidR="005316C0" w:rsidRDefault="005316C0" w:rsidP="005316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соответствие налоговых расходов муниципального образования целям муниципальных программ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 структурным элементам муниципальных программ </w:t>
      </w:r>
      <w:r>
        <w:rPr>
          <w:rFonts w:eastAsia="Calibri"/>
          <w:sz w:val="28"/>
          <w:szCs w:val="28"/>
        </w:rPr>
        <w:lastRenderedPageBreak/>
        <w:t>и (или) целям социально-экономической политики муниципального образования, не относящимся к муниципальным программам;</w:t>
      </w:r>
    </w:p>
    <w:p w:rsidR="005316C0" w:rsidRDefault="005316C0" w:rsidP="005316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5316C0" w:rsidRDefault="005316C0" w:rsidP="005316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несоответствия налоговых расходов муниципального образования хотя бы одному из критериев, указанных в настоящем пункте, куратору налогового расхода надлежит представить предложения о сохранении (уточнении, отмене)  льгот для плательщиков.</w:t>
      </w:r>
    </w:p>
    <w:p w:rsidR="005316C0" w:rsidRDefault="005316C0" w:rsidP="005316C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>
        <w:rPr>
          <w:rFonts w:eastAsia="Calibri"/>
          <w:sz w:val="28"/>
          <w:szCs w:val="28"/>
        </w:rPr>
        <w:t>отчетному</w:t>
      </w:r>
      <w:proofErr w:type="gramEnd"/>
      <w:r>
        <w:rPr>
          <w:rFonts w:eastAsia="Calibri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 В целях </w:t>
      </w:r>
      <w:proofErr w:type="gramStart"/>
      <w:r>
        <w:rPr>
          <w:rFonts w:eastAsia="Calibri"/>
          <w:sz w:val="28"/>
          <w:szCs w:val="28"/>
        </w:rPr>
        <w:t>проведения оценки бюджетной эффективности налоговых расходов муниципального образования</w:t>
      </w:r>
      <w:proofErr w:type="gramEnd"/>
      <w:r>
        <w:rPr>
          <w:rFonts w:eastAsia="Calibri"/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16. </w:t>
      </w:r>
      <w:proofErr w:type="gramStart"/>
      <w:r>
        <w:rPr>
          <w:rFonts w:eastAsia="Calibri"/>
          <w:sz w:val="28"/>
          <w:szCs w:val="28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>
        <w:rPr>
          <w:rFonts w:eastAsia="Calibri"/>
          <w:sz w:val="28"/>
          <w:szCs w:val="28"/>
        </w:rPr>
        <w:t xml:space="preserve">, на 1 рубль налоговых расходов муниципальных программ муниципального </w:t>
      </w:r>
      <w:r>
        <w:rPr>
          <w:rFonts w:eastAsia="Calibri"/>
          <w:sz w:val="28"/>
          <w:szCs w:val="28"/>
        </w:rPr>
        <w:lastRenderedPageBreak/>
        <w:t xml:space="preserve">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качестве альтернативных </w:t>
      </w:r>
      <w:proofErr w:type="gramStart"/>
      <w:r>
        <w:rPr>
          <w:rFonts w:eastAsia="Calibri"/>
          <w:sz w:val="28"/>
          <w:szCs w:val="28"/>
        </w:rPr>
        <w:t>механизмов достижения целей муниципальной программы муниципального образования</w:t>
      </w:r>
      <w:proofErr w:type="gramEnd"/>
      <w:r>
        <w:rPr>
          <w:rFonts w:eastAsia="Calibri"/>
          <w:sz w:val="28"/>
          <w:szCs w:val="28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предоставление муниципальных гарантий по обязательствам плательщиков, имеющих право на льготы;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5316C0" w:rsidRDefault="005316C0" w:rsidP="005316C0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17. Оценка налоговых расходов муниципального образования осуществляется до 1 октября и содержит: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по Перечню показателей для проведения оценки налоговых расходов;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о наличии (отсутствии) более результативных альтернативных механизмов их достижения;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Результаты анализа и обобщенные результаты </w:t>
      </w:r>
      <w:proofErr w:type="gramStart"/>
      <w:r>
        <w:rPr>
          <w:sz w:val="28"/>
          <w:szCs w:val="28"/>
        </w:rPr>
        <w:t>оценки налоговых расходов муниципального образования оценки налоговых расходов муниципального образования</w:t>
      </w:r>
      <w:proofErr w:type="gramEnd"/>
      <w:r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5316C0" w:rsidTr="005316C0">
        <w:trPr>
          <w:trHeight w:val="416"/>
        </w:trPr>
        <w:tc>
          <w:tcPr>
            <w:tcW w:w="4477" w:type="dxa"/>
            <w:hideMark/>
          </w:tcPr>
          <w:p w:rsidR="005316C0" w:rsidRDefault="00531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1 </w:t>
            </w:r>
          </w:p>
          <w:p w:rsidR="005316C0" w:rsidRDefault="005316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формирования перечня налоговых расходов и проведения</w:t>
            </w:r>
          </w:p>
          <w:p w:rsidR="005316C0" w:rsidRDefault="005316C0" w:rsidP="005316C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оценки налоговых расходов муниципального образования «</w:t>
            </w:r>
            <w:r>
              <w:rPr>
                <w:sz w:val="28"/>
                <w:szCs w:val="28"/>
              </w:rPr>
              <w:t xml:space="preserve">Данауровское </w:t>
            </w:r>
            <w:r>
              <w:rPr>
                <w:sz w:val="28"/>
                <w:szCs w:val="28"/>
              </w:rPr>
              <w:t>сельское поселение» Чистопольского муниципального района Республики Татарстан</w:t>
            </w:r>
          </w:p>
        </w:tc>
      </w:tr>
    </w:tbl>
    <w:p w:rsidR="005316C0" w:rsidRDefault="005316C0" w:rsidP="005316C0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</w:p>
    <w:p w:rsidR="005316C0" w:rsidRDefault="005316C0" w:rsidP="005316C0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Перечень </w:t>
      </w:r>
    </w:p>
    <w:p w:rsidR="005316C0" w:rsidRDefault="005316C0" w:rsidP="005316C0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показателей для проведения оценки налоговых расходов </w:t>
      </w:r>
    </w:p>
    <w:p w:rsidR="005316C0" w:rsidRDefault="005316C0" w:rsidP="005316C0">
      <w:pPr>
        <w:autoSpaceDE w:val="0"/>
        <w:autoSpaceDN w:val="0"/>
        <w:adjustRightInd w:val="0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Данауровское </w:t>
      </w:r>
      <w:r>
        <w:rPr>
          <w:sz w:val="28"/>
          <w:szCs w:val="28"/>
        </w:rPr>
        <w:t>сельское поселение» Чистопольского муниципального района Республики Татарстан</w:t>
      </w:r>
    </w:p>
    <w:p w:rsidR="005316C0" w:rsidRDefault="005316C0" w:rsidP="005316C0">
      <w:pPr>
        <w:autoSpaceDE w:val="0"/>
        <w:autoSpaceDN w:val="0"/>
        <w:adjustRightInd w:val="0"/>
        <w:jc w:val="both"/>
        <w:rPr>
          <w:i/>
          <w:spacing w:val="-4"/>
          <w:sz w:val="28"/>
          <w:szCs w:val="28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237"/>
        <w:gridCol w:w="3260"/>
      </w:tblGrid>
      <w:tr w:rsidR="005316C0" w:rsidTr="005316C0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данных</w:t>
            </w:r>
          </w:p>
        </w:tc>
      </w:tr>
      <w:tr w:rsidR="005316C0" w:rsidTr="005316C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.Нормативные и целевые характеристики налогового расхода</w:t>
            </w:r>
            <w:r>
              <w:rPr>
                <w:sz w:val="28"/>
                <w:szCs w:val="28"/>
              </w:rPr>
              <w:t xml:space="preserve"> 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Нормативный правовой акт муниципального образования, устанавливающий налоговые</w:t>
            </w:r>
            <w:r>
              <w:rPr>
                <w:rFonts w:eastAsia="Calibri"/>
                <w:sz w:val="28"/>
                <w:szCs w:val="28"/>
              </w:rPr>
              <w:t xml:space="preserve"> льготы, освобождения и иные преференции</w:t>
            </w:r>
            <w:r>
              <w:rPr>
                <w:sz w:val="28"/>
                <w:szCs w:val="28"/>
              </w:rPr>
              <w:t xml:space="preserve">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</w:t>
            </w:r>
            <w:r>
              <w:rPr>
                <w:sz w:val="28"/>
                <w:szCs w:val="28"/>
              </w:rPr>
              <w:t xml:space="preserve">комитет Данауровского </w:t>
            </w:r>
            <w:r>
              <w:rPr>
                <w:sz w:val="28"/>
                <w:szCs w:val="28"/>
              </w:rPr>
              <w:t>сельского поселения Чистопольского муниципального района Республики Татарстан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налоговых</w:t>
            </w:r>
            <w:r>
              <w:rPr>
                <w:rFonts w:eastAsia="Calibri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>
              <w:rPr>
                <w:sz w:val="28"/>
                <w:szCs w:val="28"/>
              </w:rPr>
              <w:t>нормативными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правовыми актами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вступления в силу положений  нормативных правовых актов муниципального образования, устанавливающих налоговые</w:t>
            </w:r>
            <w:r>
              <w:rPr>
                <w:rFonts w:eastAsia="Calibri"/>
                <w:sz w:val="28"/>
                <w:szCs w:val="28"/>
              </w:rPr>
              <w:t xml:space="preserve"> льготы, освобождения и иные преференции</w:t>
            </w:r>
            <w:r>
              <w:rPr>
                <w:sz w:val="28"/>
                <w:szCs w:val="28"/>
              </w:rPr>
              <w:t xml:space="preserve">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экономики Исполнительного комитета Чистопольского муниципального района Республики Татарстан 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начала </w:t>
            </w:r>
            <w:proofErr w:type="gramStart"/>
            <w:r>
              <w:rPr>
                <w:sz w:val="28"/>
                <w:szCs w:val="28"/>
              </w:rPr>
              <w:t>действия</w:t>
            </w:r>
            <w:proofErr w:type="gramEnd"/>
            <w:r>
              <w:rPr>
                <w:sz w:val="28"/>
                <w:szCs w:val="28"/>
              </w:rPr>
              <w:t xml:space="preserve"> предоставленного нормативными правовыми актами муниципального образования права на налоговые</w:t>
            </w:r>
            <w:r>
              <w:rPr>
                <w:rFonts w:eastAsia="Calibri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действия налоговых </w:t>
            </w:r>
            <w:r>
              <w:rPr>
                <w:rFonts w:eastAsia="Calibri"/>
                <w:sz w:val="28"/>
                <w:szCs w:val="28"/>
              </w:rPr>
              <w:t>льгот, освобождений и иных преференций</w:t>
            </w:r>
            <w:r>
              <w:rPr>
                <w:sz w:val="28"/>
                <w:szCs w:val="28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прекращения действия налоговых</w:t>
            </w:r>
            <w:r>
              <w:rPr>
                <w:rFonts w:eastAsia="Calibri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>
              <w:rPr>
                <w:sz w:val="28"/>
                <w:szCs w:val="28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налоговых</w:t>
            </w:r>
            <w:r>
              <w:rPr>
                <w:rFonts w:eastAsia="Calibri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предоставления  налоговых</w:t>
            </w:r>
            <w:r>
              <w:rPr>
                <w:rFonts w:eastAsia="Calibri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налогов, по которым предусматриваются налоговые</w:t>
            </w:r>
            <w:r>
              <w:rPr>
                <w:rFonts w:eastAsia="Calibri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>
              <w:rPr>
                <w:sz w:val="28"/>
                <w:szCs w:val="28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налоговых</w:t>
            </w:r>
            <w:r>
              <w:rPr>
                <w:rFonts w:eastAsia="Calibri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rPr>
          <w:trHeight w:val="29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C0" w:rsidRDefault="005316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 Фискальные характеристики налогового расхода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>
              <w:rPr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у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становленных </w:t>
            </w:r>
            <w:r>
              <w:rPr>
                <w:sz w:val="28"/>
                <w:szCs w:val="28"/>
              </w:rPr>
              <w:t>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5316C0" w:rsidTr="005316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6C0" w:rsidRDefault="005316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 Исполнительного комитета Чистопольского муниципального района Республики Татарстан</w:t>
            </w:r>
          </w:p>
        </w:tc>
      </w:tr>
    </w:tbl>
    <w:p w:rsidR="005316C0" w:rsidRDefault="005316C0" w:rsidP="005316C0">
      <w:pPr>
        <w:rPr>
          <w:rFonts w:eastAsia="Calibri"/>
          <w:sz w:val="28"/>
          <w:szCs w:val="28"/>
        </w:rPr>
        <w:sectPr w:rsidR="005316C0" w:rsidSect="005316C0">
          <w:pgSz w:w="11906" w:h="16838"/>
          <w:pgMar w:top="1134" w:right="1134" w:bottom="709" w:left="1134" w:header="709" w:footer="709" w:gutter="0"/>
          <w:cols w:space="720"/>
        </w:sectPr>
      </w:pPr>
    </w:p>
    <w:tbl>
      <w:tblPr>
        <w:tblpPr w:leftFromText="180" w:rightFromText="180" w:bottomFromText="200" w:vertAnchor="page" w:horzAnchor="margin" w:tblpXSpec="center" w:tblpY="3301"/>
        <w:tblW w:w="16365" w:type="dxa"/>
        <w:tblLayout w:type="fixed"/>
        <w:tblLook w:val="04A0" w:firstRow="1" w:lastRow="0" w:firstColumn="1" w:lastColumn="0" w:noHBand="0" w:noVBand="1"/>
      </w:tblPr>
      <w:tblGrid>
        <w:gridCol w:w="605"/>
        <w:gridCol w:w="1348"/>
        <w:gridCol w:w="1511"/>
        <w:gridCol w:w="1561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5316C0" w:rsidTr="005316C0">
        <w:trPr>
          <w:trHeight w:val="705"/>
        </w:trPr>
        <w:tc>
          <w:tcPr>
            <w:tcW w:w="16361" w:type="dxa"/>
            <w:gridSpan w:val="12"/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Перечень налоговых расходов муниципального образования "</w:t>
            </w:r>
            <w:r>
              <w:rPr>
                <w:bCs/>
                <w:sz w:val="28"/>
                <w:szCs w:val="28"/>
              </w:rPr>
              <w:t xml:space="preserve">Данауровское </w:t>
            </w:r>
            <w:r>
              <w:rPr>
                <w:bCs/>
                <w:sz w:val="28"/>
                <w:szCs w:val="28"/>
              </w:rPr>
              <w:t xml:space="preserve">сельское поселение" </w:t>
            </w:r>
          </w:p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Чистопольского муниципального района Республики Татарстан </w:t>
            </w:r>
          </w:p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2020 год и плановый период 2021 и 2022 годов</w:t>
            </w:r>
          </w:p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</w:t>
            </w:r>
          </w:p>
        </w:tc>
      </w:tr>
      <w:tr w:rsidR="005316C0" w:rsidTr="005316C0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Nп</w:t>
            </w:r>
            <w:proofErr w:type="spellEnd"/>
            <w:r>
              <w:rPr>
                <w:bCs/>
                <w:szCs w:val="28"/>
              </w:rPr>
              <w:t>/</w:t>
            </w:r>
            <w:proofErr w:type="gramStart"/>
            <w:r>
              <w:rPr>
                <w:bCs/>
                <w:szCs w:val="28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НПА </w:t>
            </w:r>
            <w:proofErr w:type="gramStart"/>
            <w:r>
              <w:rPr>
                <w:bCs/>
                <w:szCs w:val="28"/>
              </w:rPr>
              <w:t>устанавливающий</w:t>
            </w:r>
            <w:proofErr w:type="gramEnd"/>
            <w:r>
              <w:rPr>
                <w:bCs/>
                <w:szCs w:val="28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Реквизиты норм НПА, </w:t>
            </w:r>
            <w:proofErr w:type="gramStart"/>
            <w:r>
              <w:rPr>
                <w:bCs/>
                <w:szCs w:val="28"/>
              </w:rPr>
              <w:t>устанавливающего</w:t>
            </w:r>
            <w:proofErr w:type="gramEnd"/>
            <w:r>
              <w:rPr>
                <w:bCs/>
                <w:szCs w:val="28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Целевая категория налоговой льготы</w:t>
            </w:r>
          </w:p>
        </w:tc>
      </w:tr>
      <w:tr w:rsidR="005316C0" w:rsidTr="005316C0">
        <w:trPr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16C0" w:rsidRDefault="005316C0">
            <w:pPr>
              <w:rPr>
                <w:bCs/>
                <w:szCs w:val="28"/>
              </w:rPr>
            </w:pPr>
          </w:p>
        </w:tc>
      </w:tr>
      <w:tr w:rsidR="005316C0" w:rsidTr="005316C0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bookmarkStart w:id="3" w:name="_GoBack"/>
            <w:bookmarkEnd w:id="3"/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5316C0" w:rsidTr="005316C0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16C0" w:rsidRDefault="005316C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5316C0" w:rsidRDefault="005316C0" w:rsidP="005316C0">
      <w:pPr>
        <w:ind w:left="793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Приложение 2 </w:t>
      </w:r>
    </w:p>
    <w:p w:rsidR="005316C0" w:rsidRDefault="005316C0" w:rsidP="005316C0">
      <w:pPr>
        <w:ind w:left="7938"/>
        <w:jc w:val="both"/>
        <w:rPr>
          <w:sz w:val="26"/>
          <w:szCs w:val="26"/>
        </w:rPr>
      </w:pPr>
      <w:r>
        <w:rPr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>
        <w:rPr>
          <w:sz w:val="26"/>
          <w:szCs w:val="26"/>
        </w:rPr>
        <w:t xml:space="preserve">Данауровское </w:t>
      </w:r>
      <w:r>
        <w:rPr>
          <w:sz w:val="26"/>
          <w:szCs w:val="26"/>
        </w:rPr>
        <w:t xml:space="preserve">сельское поселение» Чистопольского муниципального района Республики Татарстан </w:t>
      </w:r>
    </w:p>
    <w:p w:rsidR="005316C0" w:rsidRDefault="005316C0" w:rsidP="005316C0">
      <w:pPr>
        <w:ind w:left="1274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16C0" w:rsidRDefault="005316C0" w:rsidP="005316C0">
      <w:pPr>
        <w:jc w:val="both"/>
        <w:rPr>
          <w:rFonts w:eastAsiaTheme="minorHAnsi"/>
          <w:sz w:val="28"/>
          <w:szCs w:val="28"/>
        </w:rPr>
      </w:pPr>
    </w:p>
    <w:p w:rsidR="005316C0" w:rsidRDefault="005316C0" w:rsidP="005316C0">
      <w:pPr>
        <w:jc w:val="both"/>
        <w:rPr>
          <w:sz w:val="28"/>
          <w:szCs w:val="28"/>
        </w:rPr>
      </w:pPr>
    </w:p>
    <w:p w:rsidR="005316C0" w:rsidRDefault="005316C0" w:rsidP="005316C0">
      <w:pPr>
        <w:pStyle w:val="a6"/>
        <w:ind w:left="0"/>
        <w:jc w:val="both"/>
        <w:rPr>
          <w:sz w:val="28"/>
          <w:szCs w:val="28"/>
        </w:rPr>
      </w:pPr>
    </w:p>
    <w:p w:rsidR="005316C0" w:rsidRDefault="005316C0" w:rsidP="005316C0">
      <w:pPr>
        <w:rPr>
          <w:sz w:val="28"/>
          <w:szCs w:val="28"/>
        </w:rPr>
        <w:sectPr w:rsidR="005316C0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5316C0" w:rsidRDefault="005316C0" w:rsidP="005316C0">
      <w:pPr>
        <w:jc w:val="both"/>
        <w:rPr>
          <w:rFonts w:eastAsia="Calibri"/>
          <w:sz w:val="28"/>
          <w:szCs w:val="28"/>
        </w:rPr>
      </w:pPr>
    </w:p>
    <w:p w:rsidR="00081B3F" w:rsidRDefault="00081B3F" w:rsidP="00081B3F">
      <w:pPr>
        <w:pStyle w:val="a3"/>
        <w:jc w:val="both"/>
        <w:rPr>
          <w:szCs w:val="28"/>
        </w:rPr>
      </w:pPr>
    </w:p>
    <w:p w:rsidR="00081B3F" w:rsidRDefault="00081B3F" w:rsidP="00081B3F">
      <w:pPr>
        <w:pStyle w:val="a3"/>
        <w:ind w:right="5245"/>
        <w:rPr>
          <w:rFonts w:ascii="Arial" w:hAnsi="Arial" w:cs="Arial"/>
          <w:szCs w:val="28"/>
        </w:rPr>
      </w:pPr>
    </w:p>
    <w:sectPr w:rsidR="00081B3F" w:rsidSect="00744D38">
      <w:pgSz w:w="11906" w:h="16838"/>
      <w:pgMar w:top="28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4"/>
    <w:rsid w:val="00053901"/>
    <w:rsid w:val="00081B3F"/>
    <w:rsid w:val="003433C4"/>
    <w:rsid w:val="004A211E"/>
    <w:rsid w:val="005316C0"/>
    <w:rsid w:val="006A043A"/>
    <w:rsid w:val="00744D38"/>
    <w:rsid w:val="00780476"/>
    <w:rsid w:val="00C32FA3"/>
    <w:rsid w:val="00C9783E"/>
    <w:rsid w:val="00D3083C"/>
    <w:rsid w:val="00D56C51"/>
    <w:rsid w:val="00E9347E"/>
    <w:rsid w:val="00F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6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51"/>
    <w:pPr>
      <w:spacing w:after="0" w:line="240" w:lineRule="auto"/>
    </w:pPr>
  </w:style>
  <w:style w:type="paragraph" w:customStyle="1" w:styleId="ConsPlusNormal">
    <w:name w:val="ConsPlusNormal"/>
    <w:qFormat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D5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56C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3901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0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D3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D3083C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a">
    <w:name w:val="Emphasis"/>
    <w:aliases w:val="Формат документа"/>
    <w:qFormat/>
    <w:rsid w:val="00744D38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744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744D38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E934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3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semiHidden/>
    <w:unhideWhenUsed/>
    <w:rsid w:val="005316C0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53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16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6C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51"/>
    <w:pPr>
      <w:spacing w:after="0" w:line="240" w:lineRule="auto"/>
    </w:pPr>
  </w:style>
  <w:style w:type="paragraph" w:customStyle="1" w:styleId="ConsPlusNormal">
    <w:name w:val="ConsPlusNormal"/>
    <w:qFormat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6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D56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56C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53901"/>
    <w:pPr>
      <w:ind w:left="720"/>
      <w:contextualSpacing/>
    </w:pPr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04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04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D3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9">
    <w:name w:val="Гипертекстовая ссылка"/>
    <w:uiPriority w:val="99"/>
    <w:rsid w:val="00D3083C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a">
    <w:name w:val="Emphasis"/>
    <w:aliases w:val="Формат документа"/>
    <w:qFormat/>
    <w:rsid w:val="00744D38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0"/>
    <w:link w:val="12"/>
    <w:locked/>
    <w:rsid w:val="00744D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"/>
    <w:link w:val="11"/>
    <w:rsid w:val="00744D38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"/>
    <w:rsid w:val="00E934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31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semiHidden/>
    <w:unhideWhenUsed/>
    <w:rsid w:val="005316C0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531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316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2702</Words>
  <Characters>15406</Characters>
  <Application>Microsoft Office Word</Application>
  <DocSecurity>0</DocSecurity>
  <Lines>128</Lines>
  <Paragraphs>36</Paragraphs>
  <ScaleCrop>false</ScaleCrop>
  <Company/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22</cp:revision>
  <cp:lastPrinted>2020-03-30T07:55:00Z</cp:lastPrinted>
  <dcterms:created xsi:type="dcterms:W3CDTF">2019-11-01T07:36:00Z</dcterms:created>
  <dcterms:modified xsi:type="dcterms:W3CDTF">2020-03-30T07:55:00Z</dcterms:modified>
</cp:coreProperties>
</file>