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672293" w:rsidP="006722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672293" w:rsidRDefault="00672293" w:rsidP="0067229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и оценки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672293" w:rsidRPr="00672293" w:rsidRDefault="00672293" w:rsidP="00672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В соответствии со статьей 174.3. Бюджетного кодекса Российской Федерации, с постановлением Правительства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образований», 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72293" w:rsidRPr="00672293" w:rsidRDefault="00672293" w:rsidP="006722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2293" w:rsidRPr="00672293" w:rsidRDefault="00672293" w:rsidP="00672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1. Утвердить Порядок формирования перечня налоговых расходов и проведения оценки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приложению.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2. Предложить Управлению Федеральной налоговой службы по Республике Татарстан ежегодно до 1 сентября направлять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сельского поселения сведения за отчетный финансовый год и за год, предшествующий отчетному году: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налоговыми льготами;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о суммах выпадающих доходов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722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2293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муниципального </w:t>
      </w:r>
      <w:r w:rsidRPr="00672293"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(www.chistopol.tatarstan.ru).</w:t>
      </w:r>
    </w:p>
    <w:p w:rsidR="00672293" w:rsidRPr="00672293" w:rsidRDefault="00672293" w:rsidP="00672293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672293">
        <w:rPr>
          <w:rFonts w:ascii="Times New Roman" w:eastAsiaTheme="majorEastAsia" w:hAnsi="Times New Roman" w:cs="Times New Roman"/>
          <w:bCs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672293" w:rsidRPr="00672293" w:rsidRDefault="00672293" w:rsidP="0067229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lightGray"/>
          <w:lang w:eastAsia="ru-RU"/>
        </w:rPr>
      </w:pPr>
    </w:p>
    <w:p w:rsidR="00672293" w:rsidRPr="00672293" w:rsidRDefault="00672293" w:rsidP="0067229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lightGray"/>
          <w:lang w:eastAsia="ru-RU"/>
        </w:rPr>
      </w:pPr>
    </w:p>
    <w:p w:rsidR="00672293" w:rsidRPr="00672293" w:rsidRDefault="00672293" w:rsidP="0067229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lightGray"/>
          <w:lang w:eastAsia="ru-RU"/>
        </w:rPr>
      </w:pPr>
    </w:p>
    <w:p w:rsidR="00672293" w:rsidRPr="00672293" w:rsidRDefault="00672293" w:rsidP="0067229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</w:p>
    <w:p w:rsidR="00672293" w:rsidRPr="00672293" w:rsidRDefault="00672293" w:rsidP="0067229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С. В. Васильев</w:t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7092" w:firstLine="69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72293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</w:t>
      </w:r>
    </w:p>
    <w:p w:rsidR="00672293" w:rsidRPr="00672293" w:rsidRDefault="00672293" w:rsidP="00672293">
      <w:pPr>
        <w:spacing w:after="0" w:line="240" w:lineRule="auto"/>
        <w:ind w:left="5670" w:right="-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72293" w:rsidRPr="00672293" w:rsidRDefault="00672293" w:rsidP="00672293">
      <w:pPr>
        <w:spacing w:after="120" w:line="240" w:lineRule="auto"/>
        <w:ind w:left="5670" w:right="-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672293" w:rsidRPr="00672293" w:rsidRDefault="00672293" w:rsidP="00672293">
      <w:pPr>
        <w:spacing w:after="120" w:line="240" w:lineRule="auto"/>
        <w:ind w:left="5670" w:right="-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72293" w:rsidRPr="00672293" w:rsidRDefault="00672293" w:rsidP="00672293">
      <w:pPr>
        <w:spacing w:after="120" w:line="240" w:lineRule="auto"/>
        <w:ind w:left="5670" w:right="-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 ______</w:t>
      </w:r>
    </w:p>
    <w:p w:rsidR="00672293" w:rsidRPr="00672293" w:rsidRDefault="00672293" w:rsidP="0067229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Порядок</w:t>
      </w:r>
    </w:p>
    <w:p w:rsidR="00672293" w:rsidRPr="00672293" w:rsidRDefault="00672293" w:rsidP="006722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 проведения</w:t>
      </w:r>
    </w:p>
    <w:p w:rsidR="00672293" w:rsidRPr="00672293" w:rsidRDefault="00672293" w:rsidP="0067229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оценки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93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72293" w:rsidRPr="00672293" w:rsidRDefault="00672293" w:rsidP="0067229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229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72293" w:rsidRPr="00672293" w:rsidRDefault="00672293" w:rsidP="0067229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формирования перечня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93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муниципальное образование)</w:t>
      </w:r>
      <w:r w:rsidRPr="006722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2293">
        <w:rPr>
          <w:rFonts w:ascii="Times New Roman" w:hAnsi="Times New Roman" w:cs="Times New Roman"/>
          <w:sz w:val="28"/>
          <w:szCs w:val="28"/>
        </w:rPr>
        <w:t>и оценки налоговых расходов (далее порядок)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2. В настоящем порядке используются термины и понятия, установленные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672293">
        <w:rPr>
          <w:rFonts w:ascii="Times New Roman" w:hAnsi="Times New Roman" w:cs="Times New Roman"/>
          <w:sz w:val="28"/>
          <w:szCs w:val="28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0"/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 формирует перечень налоговых расходов муниципального образования.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Анализ и обобщение результатов оценки налоговых расходов муниципального образования осуществляется отделом экономики Исполнительного комитета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отдел экономики). 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2293">
        <w:rPr>
          <w:rFonts w:ascii="Times New Roman" w:hAnsi="Times New Roman" w:cs="Times New Roman"/>
          <w:sz w:val="28"/>
          <w:szCs w:val="28"/>
        </w:rPr>
        <w:t>. Формирование перечня налоговых расходов муниципального образования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lastRenderedPageBreak/>
        <w:t xml:space="preserve">5. Перечень налоговых расходов муниципального образования на очередной финансовый год и плановый период разрабатывается Исполнительным комитетом по форме в соответствии с приложением №2 к настоящему постановлению и   в срок до 1 июня текущего года утверждает  перечень налоговых расходов муниципального образования после согласования  с кураторами налоговых расходов. 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1 июля текущего года.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по запросу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отчетному.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8. В целях проведения оценки налоговых расходов муниципального образования отдел экономики  по согласованию с исполнительным комитетом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672293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672293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6" w:history="1">
        <w:r w:rsidRPr="00672293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672293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293">
        <w:rPr>
          <w:rFonts w:ascii="Times New Roman" w:hAnsi="Times New Roman" w:cs="Times New Roman"/>
          <w:sz w:val="28"/>
          <w:szCs w:val="28"/>
        </w:rPr>
        <w:t>9.В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с даты вступления в силу соответствующего нормативного правового акта, вносит по согласованию с отделом экономики и кураторами налоговых расходов соответствующие изменения в Перечень налоговых расходов муниципального образования.</w:t>
      </w:r>
      <w:proofErr w:type="gramEnd"/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Start w:id="2" w:name="P55"/>
      <w:bookmarkEnd w:id="1"/>
      <w:bookmarkEnd w:id="2"/>
      <w:r w:rsidRPr="006722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72293">
        <w:rPr>
          <w:rFonts w:ascii="Times New Roman" w:hAnsi="Times New Roman" w:cs="Times New Roman"/>
          <w:sz w:val="28"/>
          <w:szCs w:val="28"/>
        </w:rPr>
        <w:t>. Порядок оценки налоговых расходов муниципального образования.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10. Оценка налоговых расходов осуществляется куратором налогового расхода и включает: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-оценку объемов налоговых расходов муниципального образования;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 муниципального образования.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11. Оценка эффективности налоговых расходов муниципального образования включает: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 муниципального образования;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lastRenderedPageBreak/>
        <w:t>- оценку результативности налоговых расходов муниципального образования.</w:t>
      </w:r>
    </w:p>
    <w:p w:rsidR="00672293" w:rsidRPr="00672293" w:rsidRDefault="00672293" w:rsidP="0067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12.Критериями целесообразности налоговых расходов муниципального образования являются:</w:t>
      </w:r>
    </w:p>
    <w:p w:rsidR="00672293" w:rsidRPr="00672293" w:rsidRDefault="00672293" w:rsidP="0067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соответствие налоговых расходов муниципального образования целям муниципальных программ</w:t>
      </w:r>
      <w:r w:rsidRPr="00672293">
        <w:rPr>
          <w:rFonts w:ascii="Times New Roman" w:hAnsi="Times New Roman" w:cs="Times New Roman"/>
          <w:sz w:val="28"/>
          <w:szCs w:val="28"/>
        </w:rPr>
        <w:t>,</w:t>
      </w:r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672293" w:rsidRPr="00672293" w:rsidRDefault="00672293" w:rsidP="0067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672293" w:rsidRPr="00672293" w:rsidRDefault="00672293" w:rsidP="0067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В случае несоответствия налоговых расходов муниципального образования хотя бы одному из критериев, указанных в настоящем пункте, куратору налогового расхода надлежит представить предложения о сохранении (уточнении, отмене)  льгот для плательщиков.</w:t>
      </w:r>
    </w:p>
    <w:p w:rsidR="00672293" w:rsidRPr="00672293" w:rsidRDefault="00672293" w:rsidP="00672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672293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15. В целях </w:t>
      </w:r>
      <w:proofErr w:type="gramStart"/>
      <w:r w:rsidRPr="00672293">
        <w:rPr>
          <w:rFonts w:ascii="Times New Roman" w:eastAsia="Calibri" w:hAnsi="Times New Roman" w:cs="Times New Roman"/>
          <w:sz w:val="28"/>
          <w:szCs w:val="28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16. </w:t>
      </w:r>
      <w:proofErr w:type="gramStart"/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</w:t>
      </w:r>
      <w:r w:rsidRPr="00672293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672293">
        <w:rPr>
          <w:rFonts w:ascii="Times New Roman" w:eastAsia="Calibri" w:hAnsi="Times New Roman" w:cs="Times New Roman"/>
          <w:sz w:val="28"/>
          <w:szCs w:val="28"/>
        </w:rPr>
        <w:t>механизмов достижения целей муниципальной программы муниципального образования</w:t>
      </w:r>
      <w:proofErr w:type="gramEnd"/>
      <w:r w:rsidRPr="00672293">
        <w:rPr>
          <w:rFonts w:ascii="Times New Roman" w:eastAsia="Calibri" w:hAnsi="Times New Roman" w:cs="Times New Roman"/>
          <w:sz w:val="28"/>
          <w:szCs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б) предоставление муниципальных гарантий по обязательствам плательщиков, имеющих право на льготы;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17. Оценка налоговых расходов муниципального образования осуществляется до 1 октября и содержит: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 информацию по Перечню показателей для проведения оценки налоговых расходов;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18. Результаты анализа и обобщенные результаты </w:t>
      </w:r>
      <w:proofErr w:type="gramStart"/>
      <w:r w:rsidRPr="00672293">
        <w:rPr>
          <w:rFonts w:ascii="Times New Roman" w:hAnsi="Times New Roman" w:cs="Times New Roman"/>
          <w:sz w:val="28"/>
          <w:szCs w:val="28"/>
        </w:rPr>
        <w:t>оценки налоговых расходов муниципального образования оценки налоговых расходов муниципального образования</w:t>
      </w:r>
      <w:proofErr w:type="gramEnd"/>
      <w:r w:rsidRPr="0067229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72293" w:rsidRPr="00672293" w:rsidTr="00672293">
        <w:trPr>
          <w:trHeight w:val="416"/>
        </w:trPr>
        <w:tc>
          <w:tcPr>
            <w:tcW w:w="4820" w:type="dxa"/>
          </w:tcPr>
          <w:p w:rsidR="00672293" w:rsidRPr="00672293" w:rsidRDefault="00672293" w:rsidP="0067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672293" w:rsidRPr="00672293" w:rsidRDefault="00672293" w:rsidP="00672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 и проведения</w:t>
            </w:r>
          </w:p>
          <w:p w:rsidR="00672293" w:rsidRPr="00672293" w:rsidRDefault="00672293" w:rsidP="00672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оценки налоговых ра</w:t>
            </w:r>
            <w:bookmarkStart w:id="3" w:name="_GoBack"/>
            <w:bookmarkEnd w:id="3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сходов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поселение»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22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229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93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6722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72293" w:rsidRPr="00672293" w:rsidRDefault="00672293" w:rsidP="0067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672293" w:rsidRPr="00672293" w:rsidTr="00271E7B">
        <w:tc>
          <w:tcPr>
            <w:tcW w:w="6805" w:type="dxa"/>
            <w:gridSpan w:val="2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672293" w:rsidRPr="00672293" w:rsidTr="00271E7B">
        <w:tc>
          <w:tcPr>
            <w:tcW w:w="10065" w:type="dxa"/>
            <w:gridSpan w:val="3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.Нормативные и целевые характеристики налогового </w:t>
            </w:r>
            <w:proofErr w:type="spell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расхода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proofErr w:type="spell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актамимуниципального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Татарстан 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</w:t>
            </w:r>
            <w:proofErr w:type="spellStart"/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установленных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правовыми актами 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rPr>
          <w:trHeight w:val="292"/>
        </w:trPr>
        <w:tc>
          <w:tcPr>
            <w:tcW w:w="10065" w:type="dxa"/>
            <w:gridSpan w:val="3"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Фискальные характеристики налогового расхода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</w:t>
            </w:r>
            <w:proofErr w:type="spell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образованияза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отчетный год и за год, 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672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672293" w:rsidRPr="00672293" w:rsidTr="00271E7B">
        <w:tc>
          <w:tcPr>
            <w:tcW w:w="568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672293" w:rsidRPr="00672293" w:rsidRDefault="00672293" w:rsidP="00672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6722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672293" w:rsidRPr="00672293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672293" w:rsidRPr="00672293" w:rsidTr="00271E7B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Нижнекондратинское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сельское поселение" </w:t>
            </w:r>
          </w:p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 </w:t>
            </w:r>
          </w:p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72293" w:rsidRPr="00672293" w:rsidTr="00271E7B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672293" w:rsidRPr="00672293" w:rsidTr="00271E7B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293" w:rsidRPr="00672293" w:rsidTr="00271E7B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672293" w:rsidRPr="00672293" w:rsidTr="00271E7B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293" w:rsidRPr="00672293" w:rsidRDefault="00672293" w:rsidP="0067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2293" w:rsidRPr="00672293" w:rsidRDefault="00672293" w:rsidP="00672293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672293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672293" w:rsidRPr="00672293" w:rsidRDefault="00672293" w:rsidP="00672293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672293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Нижнекондратинское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293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proofErr w:type="spellStart"/>
      <w:r w:rsidRPr="00672293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672293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672293" w:rsidRPr="00672293" w:rsidRDefault="00672293" w:rsidP="00672293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293" w:rsidRPr="00672293" w:rsidRDefault="00672293" w:rsidP="00672293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2293" w:rsidRPr="00672293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72293" w:rsidRPr="00672293" w:rsidRDefault="00672293" w:rsidP="00672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23989"/>
    <w:rsid w:val="005A4FC9"/>
    <w:rsid w:val="00672293"/>
    <w:rsid w:val="00A30906"/>
    <w:rsid w:val="00AC4451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6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6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dcterms:created xsi:type="dcterms:W3CDTF">2020-03-30T06:53:00Z</dcterms:created>
  <dcterms:modified xsi:type="dcterms:W3CDTF">2020-03-30T06:53:00Z</dcterms:modified>
</cp:coreProperties>
</file>