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tbl>
      <w:tblPr>
        <w:tblW w:w="11199" w:type="dxa"/>
        <w:tblInd w:w="-601" w:type="dxa"/>
        <w:tblLayout w:type="fixed"/>
        <w:tblLook w:val="0000" w:firstRow="0" w:lastRow="0" w:firstColumn="0" w:lastColumn="0" w:noHBand="0" w:noVBand="0"/>
      </w:tblPr>
      <w:tblGrid>
        <w:gridCol w:w="169"/>
        <w:gridCol w:w="3600"/>
        <w:gridCol w:w="2340"/>
        <w:gridCol w:w="554"/>
        <w:gridCol w:w="4536"/>
      </w:tblGrid>
      <w:tr w:rsidR="000B6B02" w:rsidRPr="004E5D2A" w:rsidTr="00795247">
        <w:trPr>
          <w:gridBefore w:val="1"/>
          <w:wBefore w:w="169" w:type="dxa"/>
        </w:trPr>
        <w:tc>
          <w:tcPr>
            <w:tcW w:w="3600" w:type="dxa"/>
          </w:tcPr>
          <w:p w:rsidR="000B6B02" w:rsidRPr="004E5D2A" w:rsidRDefault="000B6B02" w:rsidP="005720EA">
            <w:pPr>
              <w:pStyle w:val="2"/>
              <w:jc w:val="left"/>
              <w:rPr>
                <w:bCs w:val="0"/>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p w:rsidR="00D20CAA" w:rsidRPr="004E5D2A" w:rsidRDefault="00D20CAA" w:rsidP="00D20CAA">
            <w:pPr>
              <w:rPr>
                <w:sz w:val="28"/>
                <w:szCs w:val="28"/>
              </w:rPr>
            </w:pPr>
          </w:p>
        </w:tc>
        <w:tc>
          <w:tcPr>
            <w:tcW w:w="2340" w:type="dxa"/>
          </w:tcPr>
          <w:p w:rsidR="000B6B02" w:rsidRDefault="00835374" w:rsidP="001149B7">
            <w:pPr>
              <w:pStyle w:val="2"/>
              <w:rPr>
                <w:b w:val="0"/>
                <w:bCs w:val="0"/>
                <w:i w:val="0"/>
                <w:szCs w:val="28"/>
              </w:rPr>
            </w:pPr>
            <w:r>
              <w:rPr>
                <w:b w:val="0"/>
                <w:bCs w:val="0"/>
                <w:i w:val="0"/>
                <w:szCs w:val="28"/>
              </w:rPr>
              <w:t>Совет</w:t>
            </w:r>
          </w:p>
          <w:p w:rsidR="001149B7" w:rsidRPr="001149B7" w:rsidRDefault="001149B7" w:rsidP="001149B7">
            <w:pPr>
              <w:jc w:val="center"/>
            </w:pPr>
            <w:proofErr w:type="spellStart"/>
            <w:r>
              <w:t>Четырчинского</w:t>
            </w:r>
            <w:proofErr w:type="spellEnd"/>
            <w:r>
              <w:t xml:space="preserve"> сельского поселения</w:t>
            </w:r>
          </w:p>
          <w:p w:rsidR="00835374" w:rsidRPr="00835374" w:rsidRDefault="00835374" w:rsidP="001149B7">
            <w:pPr>
              <w:jc w:val="center"/>
            </w:pPr>
          </w:p>
        </w:tc>
        <w:tc>
          <w:tcPr>
            <w:tcW w:w="5090" w:type="dxa"/>
            <w:gridSpan w:val="2"/>
          </w:tcPr>
          <w:p w:rsidR="000B6B02" w:rsidRPr="004E5D2A" w:rsidRDefault="00D20CAA" w:rsidP="001149B7">
            <w:pPr>
              <w:jc w:val="center"/>
              <w:rPr>
                <w:b/>
                <w:i/>
                <w:iCs/>
                <w:sz w:val="28"/>
                <w:szCs w:val="28"/>
              </w:rPr>
            </w:pPr>
            <w:r w:rsidRPr="004E5D2A">
              <w:rPr>
                <w:b/>
                <w:i/>
                <w:iCs/>
                <w:sz w:val="28"/>
                <w:szCs w:val="28"/>
              </w:rPr>
              <w:t>Проект</w:t>
            </w:r>
          </w:p>
        </w:tc>
      </w:tr>
      <w:tr w:rsidR="00B204F7" w:rsidRPr="004E5D2A" w:rsidTr="00795247">
        <w:trPr>
          <w:trHeight w:val="295"/>
        </w:trPr>
        <w:tc>
          <w:tcPr>
            <w:tcW w:w="6663" w:type="dxa"/>
            <w:gridSpan w:val="4"/>
          </w:tcPr>
          <w:p w:rsidR="00374921" w:rsidRPr="004E5D2A" w:rsidRDefault="00374921" w:rsidP="003F67FD">
            <w:pPr>
              <w:rPr>
                <w:b/>
                <w:sz w:val="28"/>
                <w:szCs w:val="28"/>
              </w:rPr>
            </w:pP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1149B7">
        <w:rPr>
          <w:rFonts w:eastAsia="Calibri"/>
          <w:sz w:val="28"/>
          <w:szCs w:val="28"/>
          <w:lang w:eastAsia="en-US"/>
        </w:rPr>
        <w:t>Четырчинское</w:t>
      </w:r>
      <w:proofErr w:type="spellEnd"/>
      <w:r w:rsidR="001149B7">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proofErr w:type="spellStart"/>
      <w:r w:rsidR="001149B7">
        <w:rPr>
          <w:rFonts w:eastAsia="Calibri"/>
          <w:color w:val="000000"/>
          <w:sz w:val="28"/>
          <w:szCs w:val="28"/>
          <w:lang w:eastAsia="en-US"/>
        </w:rPr>
        <w:t>Четырчинское</w:t>
      </w:r>
      <w:proofErr w:type="spellEnd"/>
      <w:r w:rsidR="001149B7">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1149B7">
        <w:rPr>
          <w:rFonts w:eastAsia="Calibri"/>
          <w:color w:val="000000"/>
          <w:sz w:val="28"/>
          <w:szCs w:val="28"/>
          <w:lang w:eastAsia="en-US"/>
        </w:rPr>
        <w:t>Четырчинское</w:t>
      </w:r>
      <w:proofErr w:type="spellEnd"/>
      <w:r w:rsidR="001149B7">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1149B7">
        <w:rPr>
          <w:rFonts w:eastAsia="Calibri"/>
          <w:sz w:val="28"/>
          <w:szCs w:val="28"/>
        </w:rPr>
        <w:t xml:space="preserve">  </w:t>
      </w:r>
      <w:proofErr w:type="spellStart"/>
      <w:r w:rsidR="001149B7">
        <w:rPr>
          <w:rFonts w:eastAsia="Calibri"/>
          <w:sz w:val="28"/>
          <w:szCs w:val="28"/>
        </w:rPr>
        <w:t>Четырчинского</w:t>
      </w:r>
      <w:proofErr w:type="spellEnd"/>
      <w:r w:rsidR="001149B7">
        <w:rPr>
          <w:rFonts w:eastAsia="Calibri"/>
          <w:sz w:val="28"/>
          <w:szCs w:val="28"/>
        </w:rPr>
        <w:t xml:space="preserve">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4C2A87">
        <w:rPr>
          <w:rFonts w:eastAsia="Calibri"/>
          <w:sz w:val="28"/>
          <w:szCs w:val="28"/>
        </w:rPr>
        <w:t>19.06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4C2A87">
        <w:rPr>
          <w:rFonts w:eastAsia="Calibri"/>
          <w:sz w:val="28"/>
          <w:szCs w:val="28"/>
        </w:rPr>
        <w:t>7</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1149B7">
        <w:rPr>
          <w:rFonts w:eastAsia="Calibri"/>
          <w:sz w:val="28"/>
          <w:szCs w:val="28"/>
        </w:rPr>
        <w:t>Четырчинское</w:t>
      </w:r>
      <w:proofErr w:type="spellEnd"/>
      <w:r w:rsidR="001149B7">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w:t>
      </w:r>
      <w:r w:rsidR="001149B7">
        <w:rPr>
          <w:rFonts w:eastAsia="Calibri"/>
          <w:sz w:val="28"/>
          <w:szCs w:val="28"/>
        </w:rPr>
        <w:t xml:space="preserve"> решение Совета  </w:t>
      </w:r>
      <w:proofErr w:type="spellStart"/>
      <w:r w:rsidR="001149B7">
        <w:rPr>
          <w:rFonts w:eastAsia="Calibri"/>
          <w:sz w:val="28"/>
          <w:szCs w:val="28"/>
        </w:rPr>
        <w:t>Четырчинского</w:t>
      </w:r>
      <w:proofErr w:type="spellEnd"/>
      <w:r w:rsidR="001149B7">
        <w:rPr>
          <w:rFonts w:eastAsia="Calibri"/>
          <w:sz w:val="28"/>
          <w:szCs w:val="28"/>
        </w:rPr>
        <w:t xml:space="preserve"> </w:t>
      </w:r>
      <w:r w:rsidRPr="004E5D2A">
        <w:rPr>
          <w:rFonts w:eastAsia="Calibri"/>
          <w:sz w:val="28"/>
          <w:szCs w:val="28"/>
        </w:rPr>
        <w:t>с</w:t>
      </w:r>
      <w:r w:rsidR="004C2A87">
        <w:rPr>
          <w:rFonts w:eastAsia="Calibri"/>
          <w:sz w:val="28"/>
          <w:szCs w:val="28"/>
        </w:rPr>
        <w:t>ельского поселения  от 17.08.2015 года №16</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proofErr w:type="spellStart"/>
      <w:r w:rsidR="004C2A87">
        <w:rPr>
          <w:sz w:val="28"/>
          <w:szCs w:val="28"/>
        </w:rPr>
        <w:t>Четырчинского</w:t>
      </w:r>
      <w:proofErr w:type="spellEnd"/>
      <w:r w:rsidR="004C2A87">
        <w:rPr>
          <w:sz w:val="28"/>
          <w:szCs w:val="28"/>
        </w:rPr>
        <w:t xml:space="preserve"> </w:t>
      </w:r>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4C2A87">
          <w:rPr>
            <w:rStyle w:val="a7"/>
            <w:color w:val="auto"/>
            <w:sz w:val="28"/>
            <w:szCs w:val="28"/>
            <w:u w:val="none"/>
          </w:rPr>
          <w:t>19.06.</w:t>
        </w:r>
        <w:r w:rsidRPr="004E5D2A">
          <w:rPr>
            <w:rStyle w:val="a7"/>
            <w:color w:val="auto"/>
            <w:sz w:val="28"/>
            <w:szCs w:val="28"/>
            <w:u w:val="none"/>
          </w:rPr>
          <w:t>201</w:t>
        </w:r>
        <w:r w:rsidR="00363E94" w:rsidRPr="004E5D2A">
          <w:rPr>
            <w:rStyle w:val="a7"/>
            <w:color w:val="auto"/>
            <w:sz w:val="28"/>
            <w:szCs w:val="28"/>
            <w:u w:val="none"/>
          </w:rPr>
          <w:t xml:space="preserve">4 г. </w:t>
        </w:r>
        <w:r w:rsidRPr="004E5D2A">
          <w:rPr>
            <w:rStyle w:val="a7"/>
            <w:color w:val="auto"/>
            <w:sz w:val="28"/>
            <w:szCs w:val="28"/>
            <w:u w:val="none"/>
          </w:rPr>
          <w:t>№</w:t>
        </w:r>
        <w:r w:rsidR="00363E94" w:rsidRPr="004E5D2A">
          <w:rPr>
            <w:rStyle w:val="a7"/>
            <w:color w:val="auto"/>
            <w:sz w:val="28"/>
            <w:szCs w:val="28"/>
            <w:u w:val="none"/>
          </w:rPr>
          <w:t xml:space="preserve"> 7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proofErr w:type="spellStart"/>
      <w:r w:rsidR="001149B7">
        <w:rPr>
          <w:sz w:val="28"/>
          <w:szCs w:val="28"/>
        </w:rPr>
        <w:t>Четырчинское</w:t>
      </w:r>
      <w:proofErr w:type="spellEnd"/>
      <w:r w:rsidR="001149B7">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001149B7">
        <w:rPr>
          <w:rFonts w:eastAsia="Calibri"/>
          <w:sz w:val="28"/>
          <w:szCs w:val="28"/>
        </w:rPr>
        <w:t xml:space="preserve">решение Совета  </w:t>
      </w:r>
      <w:proofErr w:type="spellStart"/>
      <w:r w:rsidR="001149B7">
        <w:rPr>
          <w:rFonts w:eastAsia="Calibri"/>
          <w:sz w:val="28"/>
          <w:szCs w:val="28"/>
        </w:rPr>
        <w:t>Четырчинского</w:t>
      </w:r>
      <w:proofErr w:type="spellEnd"/>
      <w:r w:rsidR="001149B7">
        <w:rPr>
          <w:rFonts w:eastAsia="Calibri"/>
          <w:sz w:val="28"/>
          <w:szCs w:val="28"/>
        </w:rPr>
        <w:t xml:space="preserve"> </w:t>
      </w:r>
      <w:r w:rsidR="004C2A87">
        <w:rPr>
          <w:rFonts w:eastAsia="Calibri"/>
          <w:sz w:val="28"/>
          <w:szCs w:val="28"/>
        </w:rPr>
        <w:t>сельского поселения  от 29.03.2016 года №13/2</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proofErr w:type="spellStart"/>
        <w:r w:rsidR="001149B7">
          <w:rPr>
            <w:rStyle w:val="a7"/>
            <w:color w:val="auto"/>
            <w:sz w:val="28"/>
            <w:szCs w:val="28"/>
            <w:u w:val="none"/>
          </w:rPr>
          <w:t>Четырчинского</w:t>
        </w:r>
        <w:proofErr w:type="spellEnd"/>
        <w:r w:rsidR="00363E94" w:rsidRPr="004E5D2A">
          <w:rPr>
            <w:rStyle w:val="a7"/>
            <w:color w:val="auto"/>
            <w:sz w:val="28"/>
            <w:szCs w:val="28"/>
            <w:u w:val="none"/>
          </w:rPr>
          <w:t xml:space="preserve"> сельского поселения </w:t>
        </w:r>
        <w:proofErr w:type="spellStart"/>
        <w:r w:rsidR="00363E94" w:rsidRPr="004E5D2A">
          <w:rPr>
            <w:rStyle w:val="a7"/>
            <w:color w:val="auto"/>
            <w:sz w:val="28"/>
            <w:szCs w:val="28"/>
            <w:u w:val="none"/>
          </w:rPr>
          <w:t>Чистопольского</w:t>
        </w:r>
        <w:proofErr w:type="spellEnd"/>
        <w:r w:rsidR="00363E94" w:rsidRPr="004E5D2A">
          <w:rPr>
            <w:rStyle w:val="a7"/>
            <w:color w:val="auto"/>
            <w:sz w:val="28"/>
            <w:szCs w:val="28"/>
            <w:u w:val="none"/>
          </w:rPr>
          <w:t xml:space="preserve"> муниципального </w:t>
        </w:r>
        <w:r w:rsidRPr="004E5D2A">
          <w:rPr>
            <w:rStyle w:val="a7"/>
            <w:color w:val="auto"/>
            <w:sz w:val="28"/>
            <w:szCs w:val="28"/>
            <w:u w:val="none"/>
          </w:rPr>
          <w:t xml:space="preserve">района </w:t>
        </w:r>
        <w:r w:rsidR="004C2A87">
          <w:rPr>
            <w:rStyle w:val="a7"/>
            <w:color w:val="auto"/>
            <w:sz w:val="28"/>
            <w:szCs w:val="28"/>
            <w:u w:val="none"/>
          </w:rPr>
          <w:t>Республики Татарстан от  19.06.</w:t>
        </w:r>
        <w:r w:rsidR="00363E94" w:rsidRPr="004E5D2A">
          <w:rPr>
            <w:rStyle w:val="a7"/>
            <w:color w:val="auto"/>
            <w:sz w:val="28"/>
            <w:szCs w:val="28"/>
            <w:u w:val="none"/>
          </w:rPr>
          <w:t xml:space="preserve">2014 </w:t>
        </w:r>
        <w:r w:rsidR="004C2A87">
          <w:rPr>
            <w:rStyle w:val="a7"/>
            <w:color w:val="auto"/>
            <w:sz w:val="28"/>
            <w:szCs w:val="28"/>
            <w:u w:val="none"/>
          </w:rPr>
          <w:t>№ 7</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r w:rsidR="001149B7">
          <w:rPr>
            <w:rStyle w:val="a7"/>
            <w:color w:val="auto"/>
            <w:sz w:val="28"/>
            <w:szCs w:val="28"/>
            <w:u w:val="none"/>
          </w:rPr>
          <w:t>Четырчинское</w:t>
        </w:r>
        <w:proofErr w:type="spellEnd"/>
        <w:r w:rsidR="001149B7">
          <w:rPr>
            <w:rStyle w:val="a7"/>
            <w:color w:val="auto"/>
            <w:sz w:val="28"/>
            <w:szCs w:val="28"/>
            <w:u w:val="none"/>
          </w:rPr>
          <w:t xml:space="preserve"> </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001149B7">
        <w:rPr>
          <w:rFonts w:eastAsia="Calibri"/>
          <w:sz w:val="28"/>
          <w:szCs w:val="28"/>
        </w:rPr>
        <w:t xml:space="preserve"> решение Совета  </w:t>
      </w:r>
      <w:proofErr w:type="spellStart"/>
      <w:r w:rsidR="001149B7">
        <w:rPr>
          <w:rFonts w:eastAsia="Calibri"/>
          <w:sz w:val="28"/>
          <w:szCs w:val="28"/>
        </w:rPr>
        <w:t>Четырчинского</w:t>
      </w:r>
      <w:proofErr w:type="spellEnd"/>
      <w:r w:rsidR="001149B7">
        <w:rPr>
          <w:rFonts w:eastAsia="Calibri"/>
          <w:sz w:val="28"/>
          <w:szCs w:val="28"/>
        </w:rPr>
        <w:t xml:space="preserve"> </w:t>
      </w:r>
      <w:r w:rsidR="004C2A87">
        <w:rPr>
          <w:rFonts w:eastAsia="Calibri"/>
          <w:sz w:val="28"/>
          <w:szCs w:val="28"/>
        </w:rPr>
        <w:t>сельского поселения  от 28.06.2017 года №31/1</w:t>
      </w:r>
      <w:r w:rsidRPr="004E5D2A">
        <w:rPr>
          <w:sz w:val="28"/>
          <w:szCs w:val="28"/>
        </w:rPr>
        <w:t xml:space="preserve"> </w:t>
      </w:r>
      <w:r w:rsidR="004E5D2A">
        <w:rPr>
          <w:sz w:val="28"/>
          <w:szCs w:val="28"/>
        </w:rPr>
        <w:t>«</w:t>
      </w:r>
      <w:r w:rsidR="00363E94" w:rsidRPr="004E5D2A">
        <w:rPr>
          <w:sz w:val="28"/>
          <w:szCs w:val="28"/>
        </w:rPr>
        <w:t>О внес</w:t>
      </w:r>
      <w:r w:rsidR="001149B7">
        <w:rPr>
          <w:sz w:val="28"/>
          <w:szCs w:val="28"/>
        </w:rPr>
        <w:t xml:space="preserve">ении изменений в решение Совета </w:t>
      </w:r>
      <w:proofErr w:type="spellStart"/>
      <w:r w:rsidR="001149B7">
        <w:rPr>
          <w:sz w:val="28"/>
          <w:szCs w:val="28"/>
        </w:rPr>
        <w:t>Четырчинского</w:t>
      </w:r>
      <w:proofErr w:type="spellEnd"/>
      <w:r w:rsidR="001149B7">
        <w:rPr>
          <w:sz w:val="28"/>
          <w:szCs w:val="28"/>
        </w:rPr>
        <w:t xml:space="preserve"> </w:t>
      </w:r>
      <w:r w:rsidR="00363E94" w:rsidRPr="004E5D2A">
        <w:rPr>
          <w:sz w:val="28"/>
          <w:szCs w:val="28"/>
        </w:rPr>
        <w:t xml:space="preserve"> сельского поселения </w:t>
      </w:r>
      <w:hyperlink r:id="rId9" w:history="1">
        <w:r w:rsidR="00363E94" w:rsidRPr="004E5D2A">
          <w:rPr>
            <w:rStyle w:val="a7"/>
            <w:color w:val="auto"/>
            <w:sz w:val="28"/>
            <w:szCs w:val="28"/>
            <w:u w:val="none"/>
          </w:rPr>
          <w:t xml:space="preserve">от </w:t>
        </w:r>
        <w:r w:rsidR="004C2A87">
          <w:rPr>
            <w:rStyle w:val="a7"/>
            <w:color w:val="auto"/>
            <w:sz w:val="28"/>
            <w:szCs w:val="28"/>
            <w:u w:val="none"/>
          </w:rPr>
          <w:lastRenderedPageBreak/>
          <w:t>19.04.</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4C2A87">
          <w:rPr>
            <w:rStyle w:val="a7"/>
            <w:color w:val="auto"/>
            <w:sz w:val="28"/>
            <w:szCs w:val="28"/>
            <w:u w:val="none"/>
          </w:rPr>
          <w:t>7</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proofErr w:type="spellStart"/>
        <w:r w:rsidR="001149B7">
          <w:rPr>
            <w:rStyle w:val="a7"/>
            <w:color w:val="auto"/>
            <w:sz w:val="28"/>
            <w:szCs w:val="28"/>
            <w:u w:val="none"/>
          </w:rPr>
          <w:t>Четырчинское</w:t>
        </w:r>
        <w:proofErr w:type="spellEnd"/>
        <w:r w:rsidR="001149B7">
          <w:rPr>
            <w:rStyle w:val="a7"/>
            <w:color w:val="auto"/>
            <w:sz w:val="28"/>
            <w:szCs w:val="28"/>
            <w:u w:val="none"/>
          </w:rPr>
          <w:t xml:space="preserve"> </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w:t>
      </w:r>
      <w:proofErr w:type="spellStart"/>
      <w:r w:rsidR="00363E94" w:rsidRPr="004E5D2A">
        <w:rPr>
          <w:sz w:val="28"/>
          <w:szCs w:val="28"/>
        </w:rPr>
        <w:t>Чистопольского</w:t>
      </w:r>
      <w:proofErr w:type="spellEnd"/>
      <w:r w:rsidR="00363E94" w:rsidRPr="004E5D2A">
        <w:rPr>
          <w:sz w:val="28"/>
          <w:szCs w:val="28"/>
        </w:rPr>
        <w:t xml:space="preserve">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w:t>
      </w:r>
      <w:r w:rsidR="001149B7">
        <w:rPr>
          <w:sz w:val="28"/>
          <w:szCs w:val="28"/>
        </w:rPr>
        <w:t xml:space="preserve"> бюджету Совета </w:t>
      </w:r>
      <w:proofErr w:type="spellStart"/>
      <w:r w:rsidR="001149B7">
        <w:rPr>
          <w:sz w:val="28"/>
          <w:szCs w:val="28"/>
        </w:rPr>
        <w:t>Четырчинского</w:t>
      </w:r>
      <w:proofErr w:type="spellEnd"/>
      <w:r w:rsidR="001149B7">
        <w:rPr>
          <w:sz w:val="28"/>
          <w:szCs w:val="28"/>
        </w:rPr>
        <w:t xml:space="preserve"> </w:t>
      </w:r>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Pr="004E5D2A" w:rsidRDefault="00B64BF1" w:rsidP="00363993">
      <w:pPr>
        <w:rPr>
          <w:rFonts w:eastAsia="Calibri"/>
          <w:sz w:val="28"/>
          <w:szCs w:val="28"/>
        </w:rPr>
      </w:pPr>
      <w:r w:rsidRPr="004E5D2A">
        <w:rPr>
          <w:rFonts w:eastAsia="Calibri"/>
          <w:sz w:val="28"/>
          <w:szCs w:val="28"/>
        </w:rPr>
        <w:t xml:space="preserve">Глава </w:t>
      </w:r>
      <w:r w:rsidR="001149B7">
        <w:rPr>
          <w:rFonts w:eastAsia="Calibri"/>
          <w:sz w:val="28"/>
          <w:szCs w:val="28"/>
        </w:rPr>
        <w:t xml:space="preserve"> </w:t>
      </w:r>
      <w:proofErr w:type="spellStart"/>
      <w:r w:rsidR="001149B7">
        <w:rPr>
          <w:rFonts w:eastAsia="Calibri"/>
          <w:sz w:val="28"/>
          <w:szCs w:val="28"/>
        </w:rPr>
        <w:t>Четырчинского</w:t>
      </w:r>
      <w:proofErr w:type="spellEnd"/>
      <w:r w:rsidR="001149B7">
        <w:rPr>
          <w:rFonts w:eastAsia="Calibri"/>
          <w:sz w:val="28"/>
          <w:szCs w:val="28"/>
        </w:rPr>
        <w:t xml:space="preserve"> сельского поселения                              </w:t>
      </w:r>
      <w:proofErr w:type="spellStart"/>
      <w:r w:rsidR="001149B7">
        <w:rPr>
          <w:rFonts w:eastAsia="Calibri"/>
          <w:sz w:val="28"/>
          <w:szCs w:val="28"/>
        </w:rPr>
        <w:t>М.В.Новиков</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680856" w:rsidRDefault="00680856" w:rsidP="00B64BF1">
      <w:pPr>
        <w:autoSpaceDE w:val="0"/>
        <w:autoSpaceDN w:val="0"/>
        <w:adjustRightInd w:val="0"/>
        <w:jc w:val="right"/>
        <w:outlineLvl w:val="0"/>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lastRenderedPageBreak/>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r w:rsidR="00835374">
        <w:rPr>
          <w:rFonts w:eastAsia="Calibri"/>
          <w:sz w:val="28"/>
          <w:szCs w:val="28"/>
          <w:lang w:eastAsia="en-US"/>
        </w:rPr>
        <w:t xml:space="preserve"> </w:t>
      </w:r>
      <w:proofErr w:type="spellStart"/>
      <w:r w:rsidR="00835374">
        <w:rPr>
          <w:rFonts w:eastAsia="Calibri"/>
          <w:sz w:val="28"/>
          <w:szCs w:val="28"/>
          <w:lang w:eastAsia="en-US"/>
        </w:rPr>
        <w:t>Четырчинского</w:t>
      </w:r>
      <w:proofErr w:type="spellEnd"/>
    </w:p>
    <w:p w:rsidR="00835374" w:rsidRPr="004E5D2A" w:rsidRDefault="00835374" w:rsidP="00B64BF1">
      <w:pPr>
        <w:autoSpaceDE w:val="0"/>
        <w:autoSpaceDN w:val="0"/>
        <w:adjustRightInd w:val="0"/>
        <w:jc w:val="right"/>
        <w:rPr>
          <w:rFonts w:eastAsia="Calibri"/>
          <w:sz w:val="28"/>
          <w:szCs w:val="28"/>
          <w:lang w:eastAsia="en-US"/>
        </w:rPr>
      </w:pPr>
      <w:r>
        <w:rPr>
          <w:rFonts w:eastAsia="Calibri"/>
          <w:sz w:val="28"/>
          <w:szCs w:val="28"/>
          <w:lang w:eastAsia="en-US"/>
        </w:rPr>
        <w:t>сельского поселения</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D20CAA" w:rsidRPr="004E5D2A">
        <w:rPr>
          <w:rFonts w:eastAsia="Calibri"/>
          <w:sz w:val="28"/>
          <w:szCs w:val="28"/>
          <w:lang w:eastAsia="en-US"/>
        </w:rPr>
        <w:t>________</w:t>
      </w:r>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 xml:space="preserve"> </w:t>
      </w:r>
      <w:r w:rsidR="00D20CAA" w:rsidRPr="004E5D2A">
        <w:rPr>
          <w:rFonts w:eastAsia="Calibri"/>
          <w:sz w:val="28"/>
          <w:szCs w:val="28"/>
          <w:lang w:eastAsia="en-US"/>
        </w:rPr>
        <w:t>_____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680856">
        <w:rPr>
          <w:rFonts w:eastAsia="Calibri"/>
          <w:sz w:val="28"/>
          <w:szCs w:val="28"/>
          <w:lang w:eastAsia="en-US"/>
        </w:rPr>
        <w:t xml:space="preserve">ЧЕТЫРЧИНСКОЕ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835374">
        <w:rPr>
          <w:rFonts w:eastAsia="Calibri"/>
          <w:sz w:val="28"/>
          <w:szCs w:val="28"/>
          <w:lang w:eastAsia="en-US"/>
        </w:rPr>
        <w:t>«</w:t>
      </w:r>
      <w:proofErr w:type="spellStart"/>
      <w:r w:rsidR="00835374">
        <w:rPr>
          <w:rFonts w:eastAsia="Calibri"/>
          <w:sz w:val="28"/>
          <w:szCs w:val="28"/>
          <w:lang w:eastAsia="en-US"/>
        </w:rPr>
        <w:t>Четырчинское</w:t>
      </w:r>
      <w:proofErr w:type="spellEnd"/>
      <w:r w:rsidR="00835374">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680856">
        <w:rPr>
          <w:rFonts w:eastAsia="Calibri"/>
          <w:sz w:val="28"/>
          <w:szCs w:val="28"/>
          <w:lang w:eastAsia="en-US"/>
        </w:rPr>
        <w:t>Четырчинское</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680856">
        <w:rPr>
          <w:rFonts w:eastAsia="Calibri"/>
          <w:sz w:val="28"/>
          <w:szCs w:val="28"/>
          <w:lang w:eastAsia="en-US"/>
        </w:rPr>
        <w:t>Четырчинское</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680856">
        <w:rPr>
          <w:rFonts w:eastAsia="Calibri"/>
          <w:sz w:val="28"/>
          <w:szCs w:val="28"/>
          <w:lang w:eastAsia="en-US"/>
        </w:rPr>
        <w:t>Четырчинское</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680856">
        <w:rPr>
          <w:rFonts w:eastAsia="Calibri"/>
          <w:sz w:val="28"/>
          <w:szCs w:val="28"/>
          <w:lang w:eastAsia="en-US"/>
        </w:rPr>
        <w:t>Четырчинское</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и отчет о его исполнении разрабатывается и утве</w:t>
      </w:r>
      <w:r w:rsidR="00680856">
        <w:rPr>
          <w:rFonts w:eastAsia="Calibri"/>
          <w:sz w:val="28"/>
          <w:szCs w:val="28"/>
          <w:lang w:eastAsia="en-US"/>
        </w:rPr>
        <w:t xml:space="preserve">рждается в форме решения Совета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680856">
        <w:rPr>
          <w:rFonts w:eastAsia="Calibri"/>
          <w:sz w:val="28"/>
          <w:szCs w:val="28"/>
          <w:lang w:eastAsia="en-US"/>
        </w:rPr>
        <w:t xml:space="preserve">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 xml:space="preserve">сельского </w:t>
      </w:r>
      <w:r w:rsidR="004C04DC" w:rsidRPr="004E5D2A">
        <w:rPr>
          <w:rFonts w:eastAsia="Calibri"/>
          <w:sz w:val="28"/>
          <w:szCs w:val="28"/>
          <w:lang w:eastAsia="en-US"/>
        </w:rPr>
        <w:lastRenderedPageBreak/>
        <w:t>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w:t>
      </w:r>
      <w:r w:rsidR="00680856">
        <w:rPr>
          <w:rFonts w:eastAsia="Calibri"/>
          <w:sz w:val="28"/>
          <w:szCs w:val="28"/>
          <w:lang w:eastAsia="en-US"/>
        </w:rPr>
        <w:t xml:space="preserve">его требований решениями Совета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680856">
        <w:rPr>
          <w:rFonts w:eastAsia="Calibri"/>
          <w:sz w:val="28"/>
          <w:szCs w:val="28"/>
          <w:lang w:eastAsia="en-US"/>
        </w:rPr>
        <w:t xml:space="preserve">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680856">
        <w:rPr>
          <w:rFonts w:eastAsia="Calibri"/>
          <w:sz w:val="28"/>
          <w:szCs w:val="28"/>
          <w:lang w:eastAsia="en-US"/>
        </w:rPr>
        <w:t>Четырчинского</w:t>
      </w:r>
      <w:proofErr w:type="spellEnd"/>
      <w:r w:rsidR="00680856">
        <w:rPr>
          <w:rFonts w:eastAsia="Calibri"/>
          <w:sz w:val="28"/>
          <w:szCs w:val="28"/>
          <w:lang w:eastAsia="en-US"/>
        </w:rPr>
        <w:t xml:space="preserve"> </w:t>
      </w:r>
      <w:bookmarkStart w:id="1" w:name="_GoBack"/>
      <w:bookmarkEnd w:id="1"/>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w:t>
      </w:r>
      <w:r w:rsidRPr="004E5D2A">
        <w:rPr>
          <w:rFonts w:eastAsia="Calibri"/>
          <w:sz w:val="28"/>
          <w:szCs w:val="28"/>
          <w:lang w:eastAsia="en-US"/>
        </w:rPr>
        <w:lastRenderedPageBreak/>
        <w:t>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w:t>
      </w:r>
      <w:r w:rsidRPr="004E5D2A">
        <w:rPr>
          <w:rFonts w:eastAsia="Calibri"/>
          <w:sz w:val="28"/>
          <w:szCs w:val="28"/>
          <w:lang w:eastAsia="en-US"/>
        </w:rPr>
        <w:lastRenderedPageBreak/>
        <w:t>(складочном)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w:t>
      </w:r>
      <w:r w:rsidRPr="004E5D2A">
        <w:rPr>
          <w:rFonts w:eastAsia="Calibri"/>
          <w:color w:val="000000"/>
          <w:sz w:val="28"/>
          <w:szCs w:val="28"/>
          <w:lang w:eastAsia="en-US"/>
        </w:rPr>
        <w:lastRenderedPageBreak/>
        <w:t xml:space="preserve">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lastRenderedPageBreak/>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w:t>
      </w:r>
      <w:r w:rsidRPr="004E5D2A">
        <w:rPr>
          <w:rFonts w:eastAsia="Calibri"/>
          <w:sz w:val="28"/>
          <w:szCs w:val="28"/>
          <w:lang w:eastAsia="zh-CN"/>
        </w:rPr>
        <w:lastRenderedPageBreak/>
        <w:t>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Pr="004E5D2A">
        <w:rPr>
          <w:rFonts w:eastAsia="Calibri"/>
          <w:sz w:val="28"/>
          <w:szCs w:val="28"/>
          <w:lang w:eastAsia="zh-CN"/>
        </w:rPr>
        <w:lastRenderedPageBreak/>
        <w:t>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w:t>
      </w:r>
      <w:r w:rsidRPr="004E5D2A">
        <w:rPr>
          <w:rFonts w:eastAsia="Calibri"/>
          <w:sz w:val="28"/>
          <w:szCs w:val="28"/>
          <w:lang w:eastAsia="zh-CN"/>
        </w:rPr>
        <w:lastRenderedPageBreak/>
        <w:t>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w:t>
      </w:r>
      <w:r w:rsidRPr="004E5D2A">
        <w:rPr>
          <w:rFonts w:eastAsia="Calibri"/>
          <w:bCs/>
          <w:sz w:val="28"/>
          <w:szCs w:val="28"/>
          <w:lang w:eastAsia="zh-CN"/>
        </w:rPr>
        <w:lastRenderedPageBreak/>
        <w:t>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 xml:space="preserve">инципала, обеспеченных гарантией, либо прекращения указанных обязательств </w:t>
      </w:r>
      <w:r w:rsidRPr="004E5D2A">
        <w:rPr>
          <w:rFonts w:eastAsia="Calibri"/>
          <w:sz w:val="28"/>
          <w:szCs w:val="28"/>
          <w:lang w:eastAsia="zh-CN"/>
        </w:rPr>
        <w:lastRenderedPageBreak/>
        <w:t>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должны содержаться основные характеристики бюджета, к которым относятся общий объем доходов </w:t>
      </w:r>
      <w:r w:rsidR="00B64BF1" w:rsidRPr="004E5D2A">
        <w:rPr>
          <w:rFonts w:eastAsia="Calibri"/>
          <w:sz w:val="28"/>
          <w:szCs w:val="28"/>
          <w:lang w:eastAsia="en-US"/>
        </w:rPr>
        <w:lastRenderedPageBreak/>
        <w:t>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lastRenderedPageBreak/>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lastRenderedPageBreak/>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w:t>
      </w:r>
      <w:r w:rsidRPr="004E5D2A">
        <w:rPr>
          <w:rFonts w:eastAsia="Calibri"/>
          <w:sz w:val="28"/>
          <w:szCs w:val="28"/>
          <w:lang w:eastAsia="en-US"/>
        </w:rPr>
        <w:lastRenderedPageBreak/>
        <w:t>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Pr="004E5D2A">
        <w:rPr>
          <w:rFonts w:eastAsia="Calibri"/>
          <w:sz w:val="28"/>
          <w:szCs w:val="28"/>
          <w:lang w:eastAsia="en-US"/>
        </w:rPr>
        <w:lastRenderedPageBreak/>
        <w:t>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 xml:space="preserve">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w:t>
      </w:r>
      <w:r w:rsidRPr="004E5D2A">
        <w:rPr>
          <w:rFonts w:eastAsia="Calibri"/>
          <w:sz w:val="28"/>
          <w:szCs w:val="28"/>
          <w:lang w:eastAsia="en-US"/>
        </w:rPr>
        <w:lastRenderedPageBreak/>
        <w:t>(отказе)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149B7"/>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C2A87"/>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E0600"/>
    <w:rsid w:val="005E7488"/>
    <w:rsid w:val="005F3597"/>
    <w:rsid w:val="006008EF"/>
    <w:rsid w:val="00622964"/>
    <w:rsid w:val="00623120"/>
    <w:rsid w:val="00647B11"/>
    <w:rsid w:val="00671B29"/>
    <w:rsid w:val="006722D3"/>
    <w:rsid w:val="00677114"/>
    <w:rsid w:val="00680856"/>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35374"/>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72637-B423-427A-93CD-05E4D8BC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20082</Words>
  <Characters>114470</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134284</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chet</cp:lastModifiedBy>
  <cp:revision>10</cp:revision>
  <cp:lastPrinted>2020-03-25T07:29:00Z</cp:lastPrinted>
  <dcterms:created xsi:type="dcterms:W3CDTF">2020-03-24T12:05:00Z</dcterms:created>
  <dcterms:modified xsi:type="dcterms:W3CDTF">2020-03-25T11:07:00Z</dcterms:modified>
</cp:coreProperties>
</file>