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ED3F43" w:rsidRPr="00FE5696" w:rsidRDefault="00A542CF" w:rsidP="008E02A3">
      <w:pPr>
        <w:pStyle w:val="a3"/>
        <w:rPr>
          <w:rFonts w:ascii="Times New Roman" w:hAnsi="Times New Roman" w:cs="Times New Roman"/>
          <w:i/>
        </w:rPr>
      </w:pPr>
      <w:r w:rsidRPr="00FE5696">
        <w:rPr>
          <w:rFonts w:ascii="Times New Roman" w:hAnsi="Times New Roman" w:cs="Times New Roman"/>
        </w:rPr>
        <w:t xml:space="preserve"> </w:t>
      </w:r>
      <w:r w:rsidR="00ED3F43" w:rsidRPr="00FE5696">
        <w:rPr>
          <w:rFonts w:ascii="Times New Roman" w:hAnsi="Times New Roman" w:cs="Times New Roman"/>
          <w:i/>
        </w:rPr>
        <w:t xml:space="preserve">Решение </w:t>
      </w:r>
      <w:r w:rsidR="00ED3F43" w:rsidRPr="00FE5696">
        <w:rPr>
          <w:rFonts w:ascii="Times New Roman" w:hAnsi="Times New Roman" w:cs="Times New Roman"/>
          <w:i/>
        </w:rPr>
        <w:tab/>
      </w:r>
      <w:r w:rsidR="008E02A3" w:rsidRPr="00FE5696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proofErr w:type="spellStart"/>
      <w:r w:rsidR="00ED3F43" w:rsidRPr="00FE5696">
        <w:rPr>
          <w:rFonts w:ascii="Times New Roman" w:hAnsi="Times New Roman" w:cs="Times New Roman"/>
          <w:i/>
        </w:rPr>
        <w:t>Карар</w:t>
      </w:r>
      <w:proofErr w:type="spellEnd"/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D646C9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Совхозно-</w:t>
      </w:r>
      <w:proofErr w:type="spellStart"/>
      <w:r>
        <w:rPr>
          <w:rFonts w:ascii="Times New Roman" w:hAnsi="Times New Roman" w:cs="Times New Roman"/>
        </w:rPr>
        <w:t>Галактионовское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7B3373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</w:t>
      </w:r>
      <w:r w:rsidR="006C7179">
        <w:rPr>
          <w:rFonts w:ascii="Times New Roman" w:hAnsi="Times New Roman" w:cs="Times New Roman"/>
        </w:rPr>
        <w:t>родского прокурора от 06</w:t>
      </w:r>
      <w:r w:rsidR="00D646C9">
        <w:rPr>
          <w:rFonts w:ascii="Times New Roman" w:hAnsi="Times New Roman" w:cs="Times New Roman"/>
        </w:rPr>
        <w:t>.05.2019г</w:t>
      </w:r>
    </w:p>
    <w:p w:rsidR="00ED3F43" w:rsidRPr="00FE5696" w:rsidRDefault="006C7179" w:rsidP="008E02A3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№02-08-03-2019</w:t>
      </w:r>
      <w:bookmarkStart w:id="0" w:name="_GoBack"/>
      <w:bookmarkEnd w:id="0"/>
      <w:r w:rsidR="00FC27EB">
        <w:rPr>
          <w:rFonts w:ascii="Times New Roman" w:hAnsi="Times New Roman" w:cs="Times New Roman"/>
        </w:rPr>
        <w:t>, р</w:t>
      </w:r>
      <w:r w:rsidR="00ED3F43"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="00ED3F43"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="00ED3F43"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="00ED3F43"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="00ED3F43"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="00ED3F43"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Галактионовское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="00ED3F43" w:rsidRPr="00FE5696">
        <w:rPr>
          <w:rFonts w:ascii="Times New Roman" w:hAnsi="Times New Roman" w:cs="Times New Roman"/>
        </w:rPr>
        <w:t>Чистопольского</w:t>
      </w:r>
      <w:proofErr w:type="spellEnd"/>
      <w:r w:rsidR="00ED3F43"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="00ED3F43"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Галактионовского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  <w:proofErr w:type="gramEnd"/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Галактионовское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D646C9">
        <w:rPr>
          <w:rFonts w:ascii="Times New Roman" w:hAnsi="Times New Roman" w:cs="Times New Roman"/>
        </w:rPr>
        <w:t>ьности Совета 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Галактионовского</w:t>
      </w:r>
      <w:proofErr w:type="spellEnd"/>
      <w:r w:rsidR="00734492" w:rsidRPr="00FE5696">
        <w:rPr>
          <w:rFonts w:ascii="Times New Roman" w:hAnsi="Times New Roman" w:cs="Times New Roman"/>
        </w:rPr>
        <w:t xml:space="preserve">                                                        </w:t>
      </w:r>
      <w:r w:rsidR="00D646C9">
        <w:rPr>
          <w:rFonts w:ascii="Times New Roman" w:hAnsi="Times New Roman" w:cs="Times New Roman"/>
        </w:rPr>
        <w:t xml:space="preserve">                    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D646C9" w:rsidP="00D646C9">
      <w:pPr>
        <w:pStyle w:val="a3"/>
        <w:tabs>
          <w:tab w:val="left" w:pos="7701"/>
        </w:tabs>
        <w:rPr>
          <w:rStyle w:val="a4"/>
          <w:rFonts w:ascii="Times New Roman" w:hAnsi="Times New Roman" w:cs="Times New Roman"/>
          <w:b w:val="0"/>
          <w:bCs/>
          <w:color w:val="auto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</w:rPr>
        <w:t>сельского поселения</w:t>
      </w:r>
      <w:r>
        <w:rPr>
          <w:rStyle w:val="a4"/>
          <w:rFonts w:ascii="Times New Roman" w:hAnsi="Times New Roman" w:cs="Times New Roman"/>
          <w:b w:val="0"/>
          <w:bCs/>
          <w:color w:val="auto"/>
        </w:rPr>
        <w:tab/>
      </w:r>
      <w:proofErr w:type="spellStart"/>
      <w:r>
        <w:rPr>
          <w:rStyle w:val="a4"/>
          <w:rFonts w:ascii="Times New Roman" w:hAnsi="Times New Roman" w:cs="Times New Roman"/>
          <w:b w:val="0"/>
          <w:bCs/>
          <w:color w:val="auto"/>
        </w:rPr>
        <w:t>В.Л.Донеев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Галактионовского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Галактионовское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Галактионовское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D646C9">
        <w:rPr>
          <w:rFonts w:ascii="Times New Roman" w:hAnsi="Times New Roman" w:cs="Times New Roman"/>
        </w:rPr>
        <w:t>Совхозно-</w:t>
      </w:r>
      <w:proofErr w:type="spellStart"/>
      <w:r w:rsidR="00D646C9">
        <w:rPr>
          <w:rFonts w:ascii="Times New Roman" w:hAnsi="Times New Roman" w:cs="Times New Roman"/>
        </w:rPr>
        <w:t>Галактионовское</w:t>
      </w:r>
      <w:proofErr w:type="spellEnd"/>
      <w:r w:rsidR="00D646C9">
        <w:rPr>
          <w:rFonts w:ascii="Times New Roman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D646C9">
        <w:t>Совхозно-</w:t>
      </w:r>
      <w:proofErr w:type="spellStart"/>
      <w:r w:rsidR="00D646C9">
        <w:t>Галактионовское</w:t>
      </w:r>
      <w:proofErr w:type="spellEnd"/>
      <w:r w:rsidR="00D646C9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D646C9">
        <w:t>Совхозно-</w:t>
      </w:r>
      <w:proofErr w:type="spellStart"/>
      <w:r w:rsidR="00D646C9">
        <w:t>Галактионовского</w:t>
      </w:r>
      <w:proofErr w:type="spellEnd"/>
      <w:r w:rsidR="00D646C9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lastRenderedPageBreak/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</w:t>
      </w:r>
      <w:r w:rsidRPr="00FE5696">
        <w:rPr>
          <w:rFonts w:ascii="Times New Roman" w:hAnsi="Times New Roman" w:cs="Times New Roman"/>
        </w:rPr>
        <w:lastRenderedPageBreak/>
        <w:t xml:space="preserve">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осуществляется в порядке, </w:t>
      </w:r>
      <w:r w:rsidRPr="00FE5696">
        <w:rPr>
          <w:rFonts w:ascii="Times New Roman" w:hAnsi="Times New Roman" w:cs="Times New Roman"/>
        </w:rPr>
        <w:lastRenderedPageBreak/>
        <w:t>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</w:t>
      </w:r>
      <w:r w:rsidRPr="00FE5696">
        <w:rPr>
          <w:rFonts w:ascii="Times New Roman" w:hAnsi="Times New Roman" w:cs="Times New Roman"/>
        </w:rPr>
        <w:lastRenderedPageBreak/>
        <w:t>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C1195A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9F" w:rsidRDefault="0033249F" w:rsidP="00695529">
      <w:pPr>
        <w:spacing w:after="0" w:line="240" w:lineRule="auto"/>
      </w:pPr>
      <w:r>
        <w:separator/>
      </w:r>
    </w:p>
  </w:endnote>
  <w:endnote w:type="continuationSeparator" w:id="0">
    <w:p w:rsidR="0033249F" w:rsidRDefault="0033249F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9F" w:rsidRDefault="0033249F" w:rsidP="00695529">
      <w:pPr>
        <w:spacing w:after="0" w:line="240" w:lineRule="auto"/>
      </w:pPr>
      <w:r>
        <w:separator/>
      </w:r>
    </w:p>
  </w:footnote>
  <w:footnote w:type="continuationSeparator" w:id="0">
    <w:p w:rsidR="0033249F" w:rsidRDefault="0033249F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249F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C7179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7B3373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1020"/>
    <w:rsid w:val="00A96936"/>
    <w:rsid w:val="00AD53CB"/>
    <w:rsid w:val="00B10D2D"/>
    <w:rsid w:val="00B4706C"/>
    <w:rsid w:val="00B61E56"/>
    <w:rsid w:val="00BA59AC"/>
    <w:rsid w:val="00BB534A"/>
    <w:rsid w:val="00BC2BF2"/>
    <w:rsid w:val="00C1195A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646C9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4727-AAF5-4A55-8976-C9B3376F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7380</Words>
  <Characters>42067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7</cp:revision>
  <cp:lastPrinted>2019-09-09T08:05:00Z</cp:lastPrinted>
  <dcterms:created xsi:type="dcterms:W3CDTF">2019-09-17T18:48:00Z</dcterms:created>
  <dcterms:modified xsi:type="dcterms:W3CDTF">2019-09-19T06:00:00Z</dcterms:modified>
</cp:coreProperties>
</file>